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FF0000"/>
        </w:rPr>
      </w:pPr>
      <w:r>
        <w:t xml:space="preserve">证券代码：000875         </w:t>
      </w:r>
      <w:r>
        <w:rPr>
          <w:rFonts w:hint="eastAsia"/>
        </w:rPr>
        <w:t xml:space="preserve">  </w:t>
      </w:r>
      <w:r>
        <w:t xml:space="preserve"> 证券简称：吉电股份       </w:t>
      </w:r>
      <w:r>
        <w:rPr>
          <w:rFonts w:hint="eastAsia"/>
        </w:rPr>
        <w:t xml:space="preserve"> </w:t>
      </w:r>
      <w:r>
        <w:t xml:space="preserve">      公告编号：</w:t>
      </w:r>
      <w:r>
        <w:rPr>
          <w:rFonts w:hint="eastAsia"/>
        </w:rPr>
        <w:t>2024-017</w:t>
      </w:r>
    </w:p>
    <w:p>
      <w:pPr>
        <w:spacing w:line="580" w:lineRule="exact"/>
        <w:rPr>
          <w:b/>
          <w:sz w:val="44"/>
          <w:szCs w:val="44"/>
        </w:rPr>
      </w:pPr>
      <w:r>
        <w:rPr>
          <w:color w:val="FF6600"/>
        </w:rPr>
        <mc:AlternateContent>
          <mc:Choice Requires="wps">
            <w:drawing>
              <wp:anchor distT="0" distB="0" distL="114300" distR="114300" simplePos="0" relativeHeight="251659264" behindDoc="0" locked="0" layoutInCell="1" allowOverlap="1">
                <wp:simplePos x="0" y="0"/>
                <wp:positionH relativeFrom="column">
                  <wp:posOffset>-108585</wp:posOffset>
                </wp:positionH>
                <wp:positionV relativeFrom="paragraph">
                  <wp:posOffset>22225</wp:posOffset>
                </wp:positionV>
                <wp:extent cx="5417820" cy="22860"/>
                <wp:effectExtent l="0" t="28575" r="7620" b="40005"/>
                <wp:wrapNone/>
                <wp:docPr id="1" name="直线 4"/>
                <wp:cNvGraphicFramePr/>
                <a:graphic xmlns:a="http://schemas.openxmlformats.org/drawingml/2006/main">
                  <a:graphicData uri="http://schemas.microsoft.com/office/word/2010/wordprocessingShape">
                    <wps:wsp>
                      <wps:cNvCnPr/>
                      <wps:spPr>
                        <a:xfrm flipV="1">
                          <a:off x="0" y="0"/>
                          <a:ext cx="5417820" cy="22860"/>
                        </a:xfrm>
                        <a:prstGeom prst="line">
                          <a:avLst/>
                        </a:prstGeom>
                        <a:ln w="57150" cap="flat" cmpd="thinThick">
                          <a:solidFill>
                            <a:srgbClr val="FF6600"/>
                          </a:solidFill>
                          <a:prstDash val="solid"/>
                          <a:headEnd type="none" w="med" len="med"/>
                          <a:tailEnd type="none" w="med" len="med"/>
                        </a:ln>
                      </wps:spPr>
                      <wps:bodyPr/>
                    </wps:wsp>
                  </a:graphicData>
                </a:graphic>
              </wp:anchor>
            </w:drawing>
          </mc:Choice>
          <mc:Fallback>
            <w:pict>
              <v:line id="直线 4" o:spid="_x0000_s1026" o:spt="20" style="position:absolute;left:0pt;flip:y;margin-left:-8.55pt;margin-top:1.75pt;height:1.8pt;width:426.6pt;z-index:251659264;mso-width-relative:page;mso-height-relative:page;" filled="f" stroked="t" coordsize="21600,21600" o:gfxdata="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w&#10;PAmE0wAAAAcBAAAPAAAAAAAAAAEAIAAAACIAAABkcnMvZG93bnJldi54bWxQSwECFAAUAAAACACH&#10;TuJAsmdm4vABAADkAwAADgAAAAAAAAABACAAAAAiAQAAZHJzL2Uyb0RvYy54bWxQSwUGAAAAAAYA&#10;BgBZAQAAhAUAAAAA&#10;">
                <v:fill on="f" focussize="0,0"/>
                <v:stroke weight="4.5pt" color="#FF6600" linestyle="thinThick" joinstyle="round"/>
                <v:imagedata o:title=""/>
                <o:lock v:ext="edit" aspectratio="f"/>
              </v:line>
            </w:pict>
          </mc:Fallback>
        </mc:AlternateContent>
      </w:r>
    </w:p>
    <w:p>
      <w:pPr>
        <w:spacing w:line="580" w:lineRule="exact"/>
        <w:jc w:val="center"/>
        <w:rPr>
          <w:rFonts w:cs="宋体"/>
          <w:b/>
          <w:sz w:val="44"/>
          <w:szCs w:val="44"/>
        </w:rPr>
      </w:pPr>
      <w:r>
        <w:rPr>
          <w:rFonts w:hint="eastAsia" w:cs="宋体"/>
          <w:b/>
          <w:sz w:val="44"/>
          <w:szCs w:val="44"/>
        </w:rPr>
        <w:t>吉林电力股份有限公司</w:t>
      </w:r>
    </w:p>
    <w:p>
      <w:pPr>
        <w:spacing w:line="580" w:lineRule="exact"/>
        <w:jc w:val="center"/>
        <w:rPr>
          <w:b/>
          <w:sz w:val="44"/>
          <w:szCs w:val="44"/>
        </w:rPr>
      </w:pPr>
      <w:r>
        <w:rPr>
          <w:rFonts w:hint="eastAsia" w:cs="宋体"/>
          <w:b/>
          <w:sz w:val="44"/>
          <w:szCs w:val="44"/>
        </w:rPr>
        <w:t>第九届监事会第十一次会议决议公告</w:t>
      </w:r>
    </w:p>
    <w:p>
      <w:pPr>
        <w:spacing w:line="580" w:lineRule="exact"/>
        <w:jc w:val="center"/>
        <w:rPr>
          <w:rFonts w:eastAsia="仿宋_GB2312"/>
          <w:sz w:val="32"/>
          <w:szCs w:val="32"/>
        </w:rPr>
      </w:pPr>
    </w:p>
    <w:p>
      <w:pPr>
        <w:spacing w:line="580" w:lineRule="exact"/>
        <w:ind w:firstLine="562" w:firstLineChars="200"/>
        <w:rPr>
          <w:rFonts w:eastAsia="仿宋"/>
          <w:b/>
          <w:sz w:val="28"/>
          <w:szCs w:val="28"/>
        </w:rPr>
      </w:pPr>
      <w:r>
        <w:rPr>
          <w:rFonts w:eastAsia="仿宋"/>
          <w:b/>
          <w:sz w:val="28"/>
          <w:szCs w:val="28"/>
        </w:rPr>
        <w:t>本公司及监事会全体成员保证</w:t>
      </w:r>
      <w:r>
        <w:rPr>
          <w:rFonts w:hint="eastAsia" w:eastAsia="仿宋"/>
          <w:b/>
          <w:sz w:val="28"/>
          <w:szCs w:val="28"/>
        </w:rPr>
        <w:t>信息披露</w:t>
      </w:r>
      <w:r>
        <w:rPr>
          <w:rFonts w:eastAsia="仿宋"/>
          <w:b/>
          <w:sz w:val="28"/>
          <w:szCs w:val="28"/>
        </w:rPr>
        <w:t>内容的真实、准确</w:t>
      </w:r>
      <w:r>
        <w:rPr>
          <w:rFonts w:hint="eastAsia" w:eastAsia="仿宋"/>
          <w:b/>
          <w:sz w:val="28"/>
          <w:szCs w:val="28"/>
        </w:rPr>
        <w:t>和</w:t>
      </w:r>
      <w:r>
        <w:rPr>
          <w:rFonts w:eastAsia="仿宋"/>
          <w:b/>
          <w:sz w:val="28"/>
          <w:szCs w:val="28"/>
        </w:rPr>
        <w:t>完整，没有虚假记载、误导性陈述或重大遗漏。</w:t>
      </w:r>
    </w:p>
    <w:p>
      <w:pPr>
        <w:spacing w:line="580" w:lineRule="exact"/>
        <w:jc w:val="center"/>
        <w:rPr>
          <w:rFonts w:eastAsia="仿宋"/>
          <w:sz w:val="32"/>
          <w:szCs w:val="32"/>
        </w:rPr>
      </w:pPr>
    </w:p>
    <w:p>
      <w:pPr>
        <w:spacing w:line="580" w:lineRule="exact"/>
        <w:ind w:firstLine="562" w:firstLineChars="200"/>
        <w:rPr>
          <w:rFonts w:eastAsia="仿宋"/>
          <w:b/>
          <w:sz w:val="28"/>
          <w:szCs w:val="28"/>
        </w:rPr>
      </w:pPr>
      <w:r>
        <w:rPr>
          <w:rFonts w:eastAsia="仿宋"/>
          <w:b/>
          <w:sz w:val="28"/>
          <w:szCs w:val="28"/>
        </w:rPr>
        <w:t>一、监事会会议召开情况</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48" w:firstLineChars="196"/>
        <w:rPr>
          <w:rFonts w:eastAsia="仿宋"/>
          <w:sz w:val="28"/>
          <w:szCs w:val="28"/>
        </w:rPr>
      </w:pPr>
      <w:r>
        <w:rPr>
          <w:rFonts w:eastAsia="仿宋"/>
          <w:sz w:val="28"/>
          <w:szCs w:val="28"/>
        </w:rPr>
        <w:t>1.吉林电力股份有限公司第</w:t>
      </w:r>
      <w:r>
        <w:rPr>
          <w:rFonts w:hint="eastAsia" w:eastAsia="仿宋"/>
          <w:sz w:val="28"/>
          <w:szCs w:val="28"/>
        </w:rPr>
        <w:t>九</w:t>
      </w:r>
      <w:r>
        <w:rPr>
          <w:rFonts w:eastAsia="仿宋"/>
          <w:sz w:val="28"/>
          <w:szCs w:val="28"/>
        </w:rPr>
        <w:t>届监事会第</w:t>
      </w:r>
      <w:r>
        <w:rPr>
          <w:rFonts w:hint="eastAsia" w:eastAsia="仿宋"/>
          <w:sz w:val="28"/>
          <w:szCs w:val="28"/>
        </w:rPr>
        <w:t>十一</w:t>
      </w:r>
      <w:r>
        <w:rPr>
          <w:rFonts w:eastAsia="仿宋"/>
          <w:sz w:val="28"/>
          <w:szCs w:val="28"/>
        </w:rPr>
        <w:t>次会议通知于202</w:t>
      </w:r>
      <w:r>
        <w:rPr>
          <w:rFonts w:hint="eastAsia" w:eastAsia="仿宋"/>
          <w:sz w:val="28"/>
          <w:szCs w:val="28"/>
        </w:rPr>
        <w:t>4</w:t>
      </w:r>
      <w:r>
        <w:rPr>
          <w:rFonts w:eastAsia="仿宋"/>
          <w:sz w:val="28"/>
          <w:szCs w:val="28"/>
        </w:rPr>
        <w:t>年</w:t>
      </w:r>
      <w:r>
        <w:rPr>
          <w:rFonts w:hint="eastAsia" w:eastAsia="仿宋"/>
          <w:sz w:val="28"/>
          <w:szCs w:val="28"/>
        </w:rPr>
        <w:t>3</w:t>
      </w:r>
      <w:r>
        <w:rPr>
          <w:rFonts w:eastAsia="仿宋"/>
          <w:sz w:val="28"/>
          <w:szCs w:val="28"/>
        </w:rPr>
        <w:t>月</w:t>
      </w:r>
      <w:r>
        <w:rPr>
          <w:rFonts w:hint="eastAsia" w:eastAsia="仿宋"/>
          <w:sz w:val="28"/>
          <w:szCs w:val="28"/>
        </w:rPr>
        <w:t>8</w:t>
      </w:r>
      <w:r>
        <w:rPr>
          <w:rFonts w:eastAsia="仿宋"/>
          <w:sz w:val="28"/>
          <w:szCs w:val="28"/>
        </w:rPr>
        <w:t>日以电子邮件、书面送达等方式发出。</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48" w:firstLineChars="196"/>
        <w:rPr>
          <w:rFonts w:eastAsia="仿宋"/>
          <w:sz w:val="28"/>
          <w:szCs w:val="28"/>
        </w:rPr>
      </w:pPr>
      <w:r>
        <w:rPr>
          <w:rFonts w:eastAsia="仿宋"/>
          <w:sz w:val="28"/>
          <w:szCs w:val="28"/>
        </w:rPr>
        <w:t>2. 202</w:t>
      </w:r>
      <w:r>
        <w:rPr>
          <w:rFonts w:hint="eastAsia" w:eastAsia="仿宋"/>
          <w:sz w:val="28"/>
          <w:szCs w:val="28"/>
        </w:rPr>
        <w:t>4</w:t>
      </w:r>
      <w:r>
        <w:rPr>
          <w:rFonts w:eastAsia="仿宋"/>
          <w:sz w:val="28"/>
          <w:szCs w:val="28"/>
        </w:rPr>
        <w:t>年</w:t>
      </w:r>
      <w:r>
        <w:rPr>
          <w:rFonts w:hint="eastAsia" w:eastAsia="仿宋"/>
          <w:sz w:val="28"/>
          <w:szCs w:val="28"/>
        </w:rPr>
        <w:t>3</w:t>
      </w:r>
      <w:r>
        <w:rPr>
          <w:rFonts w:eastAsia="仿宋"/>
          <w:sz w:val="28"/>
          <w:szCs w:val="28"/>
        </w:rPr>
        <w:t>月</w:t>
      </w:r>
      <w:r>
        <w:rPr>
          <w:rFonts w:hint="eastAsia" w:eastAsia="仿宋"/>
          <w:sz w:val="28"/>
          <w:szCs w:val="28"/>
        </w:rPr>
        <w:t>19</w:t>
      </w:r>
      <w:r>
        <w:rPr>
          <w:rFonts w:eastAsia="仿宋"/>
          <w:sz w:val="28"/>
          <w:szCs w:val="28"/>
        </w:rPr>
        <w:t>日，第</w:t>
      </w:r>
      <w:r>
        <w:rPr>
          <w:rFonts w:hint="eastAsia" w:eastAsia="仿宋"/>
          <w:sz w:val="28"/>
          <w:szCs w:val="28"/>
        </w:rPr>
        <w:t>九</w:t>
      </w:r>
      <w:r>
        <w:rPr>
          <w:rFonts w:eastAsia="仿宋"/>
          <w:sz w:val="28"/>
          <w:szCs w:val="28"/>
        </w:rPr>
        <w:t>届监事会第</w:t>
      </w:r>
      <w:r>
        <w:rPr>
          <w:rFonts w:hint="eastAsia" w:eastAsia="仿宋"/>
          <w:sz w:val="28"/>
          <w:szCs w:val="28"/>
        </w:rPr>
        <w:t>十一</w:t>
      </w:r>
      <w:r>
        <w:rPr>
          <w:rFonts w:eastAsia="仿宋"/>
          <w:sz w:val="28"/>
          <w:szCs w:val="28"/>
        </w:rPr>
        <w:t>次会议以</w:t>
      </w:r>
      <w:r>
        <w:rPr>
          <w:rFonts w:hint="eastAsia" w:eastAsia="仿宋"/>
          <w:sz w:val="28"/>
          <w:szCs w:val="28"/>
        </w:rPr>
        <w:t>现场与视频相结合的</w:t>
      </w:r>
      <w:r>
        <w:rPr>
          <w:rFonts w:eastAsia="仿宋"/>
          <w:color w:val="000000"/>
          <w:kern w:val="0"/>
          <w:sz w:val="28"/>
          <w:szCs w:val="28"/>
        </w:rPr>
        <w:t>方式召开</w:t>
      </w:r>
      <w:r>
        <w:rPr>
          <w:rFonts w:hint="eastAsia" w:eastAsia="仿宋"/>
          <w:color w:val="000000"/>
          <w:kern w:val="0"/>
          <w:sz w:val="28"/>
          <w:szCs w:val="28"/>
        </w:rPr>
        <w:t>。</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580" w:lineRule="exact"/>
        <w:ind w:firstLine="560" w:firstLineChars="200"/>
        <w:rPr>
          <w:rFonts w:eastAsia="仿宋"/>
          <w:color w:val="000000"/>
          <w:kern w:val="0"/>
          <w:sz w:val="28"/>
          <w:szCs w:val="28"/>
        </w:rPr>
      </w:pPr>
      <w:r>
        <w:rPr>
          <w:rFonts w:eastAsia="仿宋"/>
          <w:sz w:val="28"/>
          <w:szCs w:val="28"/>
          <w:lang w:bidi="ar"/>
        </w:rPr>
        <w:t>3.</w:t>
      </w:r>
      <w:r>
        <w:rPr>
          <w:rFonts w:hint="eastAsia" w:eastAsia="仿宋" w:cs="仿宋"/>
          <w:color w:val="000000"/>
          <w:kern w:val="0"/>
          <w:sz w:val="28"/>
          <w:szCs w:val="28"/>
          <w:lang w:bidi="ar"/>
        </w:rPr>
        <w:t>公司应参会的监事</w:t>
      </w:r>
      <w:r>
        <w:rPr>
          <w:rFonts w:hint="eastAsia" w:eastAsia="仿宋"/>
          <w:color w:val="000000"/>
          <w:kern w:val="0"/>
          <w:sz w:val="28"/>
          <w:szCs w:val="28"/>
          <w:lang w:bidi="ar"/>
        </w:rPr>
        <w:t>5</w:t>
      </w:r>
      <w:r>
        <w:rPr>
          <w:rFonts w:hint="eastAsia" w:eastAsia="仿宋" w:cs="仿宋"/>
          <w:color w:val="000000"/>
          <w:kern w:val="0"/>
          <w:sz w:val="28"/>
          <w:szCs w:val="28"/>
          <w:lang w:bidi="ar"/>
        </w:rPr>
        <w:t>人，实参会监事</w:t>
      </w:r>
      <w:r>
        <w:rPr>
          <w:rFonts w:hint="eastAsia" w:eastAsia="仿宋"/>
          <w:color w:val="000000"/>
          <w:kern w:val="0"/>
          <w:sz w:val="28"/>
          <w:szCs w:val="28"/>
          <w:lang w:val="en-US" w:eastAsia="zh-CN" w:bidi="ar"/>
        </w:rPr>
        <w:t>3</w:t>
      </w:r>
      <w:r>
        <w:rPr>
          <w:rFonts w:hint="eastAsia" w:eastAsia="仿宋" w:cs="仿宋"/>
          <w:color w:val="000000"/>
          <w:kern w:val="0"/>
          <w:sz w:val="28"/>
          <w:szCs w:val="28"/>
          <w:lang w:bidi="ar"/>
        </w:rPr>
        <w:t>人。监事孔辉先生因公无法出席，全权委托监事</w:t>
      </w:r>
      <w:r>
        <w:rPr>
          <w:rFonts w:hint="eastAsia" w:eastAsia="仿宋" w:cs="仿宋"/>
          <w:color w:val="000000"/>
          <w:kern w:val="0"/>
          <w:sz w:val="28"/>
          <w:szCs w:val="28"/>
          <w:lang w:val="en-US" w:eastAsia="zh-CN" w:bidi="ar"/>
        </w:rPr>
        <w:t>刘阳女士</w:t>
      </w:r>
      <w:r>
        <w:rPr>
          <w:rFonts w:hint="eastAsia" w:eastAsia="仿宋" w:cs="仿宋"/>
          <w:color w:val="000000"/>
          <w:kern w:val="0"/>
          <w:sz w:val="28"/>
          <w:szCs w:val="28"/>
          <w:lang w:bidi="ar"/>
        </w:rPr>
        <w:t>代为表决</w:t>
      </w:r>
      <w:r>
        <w:rPr>
          <w:rFonts w:hint="eastAsia" w:eastAsia="仿宋" w:cs="仿宋"/>
          <w:color w:val="000000"/>
          <w:kern w:val="0"/>
          <w:sz w:val="28"/>
          <w:szCs w:val="28"/>
          <w:lang w:eastAsia="zh-CN" w:bidi="ar"/>
        </w:rPr>
        <w:t>；</w:t>
      </w:r>
      <w:r>
        <w:rPr>
          <w:rFonts w:hint="eastAsia" w:eastAsia="仿宋" w:cs="仿宋"/>
          <w:color w:val="000000"/>
          <w:kern w:val="0"/>
          <w:sz w:val="28"/>
          <w:szCs w:val="28"/>
          <w:lang w:bidi="ar"/>
        </w:rPr>
        <w:t>监事</w:t>
      </w:r>
      <w:r>
        <w:rPr>
          <w:rFonts w:hint="eastAsia" w:eastAsia="仿宋" w:cs="仿宋"/>
          <w:color w:val="000000"/>
          <w:kern w:val="0"/>
          <w:sz w:val="28"/>
          <w:szCs w:val="28"/>
          <w:lang w:val="en-US" w:eastAsia="zh-CN" w:bidi="ar"/>
        </w:rPr>
        <w:t>杨青春</w:t>
      </w:r>
      <w:r>
        <w:rPr>
          <w:rFonts w:hint="eastAsia" w:eastAsia="仿宋" w:cs="仿宋"/>
          <w:color w:val="000000"/>
          <w:kern w:val="0"/>
          <w:sz w:val="28"/>
          <w:szCs w:val="28"/>
          <w:lang w:bidi="ar"/>
        </w:rPr>
        <w:t>先生因公无法出席，全权委托监事</w:t>
      </w:r>
      <w:r>
        <w:rPr>
          <w:rFonts w:hint="eastAsia" w:eastAsia="仿宋" w:cs="仿宋"/>
          <w:color w:val="000000"/>
          <w:kern w:val="0"/>
          <w:sz w:val="28"/>
          <w:szCs w:val="28"/>
          <w:lang w:val="en-US" w:eastAsia="zh-CN" w:bidi="ar"/>
        </w:rPr>
        <w:t>刘阳女士</w:t>
      </w:r>
      <w:r>
        <w:rPr>
          <w:rFonts w:hint="eastAsia" w:eastAsia="仿宋" w:cs="仿宋"/>
          <w:color w:val="000000"/>
          <w:kern w:val="0"/>
          <w:sz w:val="28"/>
          <w:szCs w:val="28"/>
          <w:lang w:bidi="ar"/>
        </w:rPr>
        <w:t>代为表决。</w:t>
      </w:r>
    </w:p>
    <w:p>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80" w:lineRule="exact"/>
        <w:ind w:firstLine="560" w:firstLineChars="200"/>
        <w:rPr>
          <w:rFonts w:eastAsia="仿宋_GB2312"/>
          <w:sz w:val="28"/>
          <w:szCs w:val="28"/>
        </w:rPr>
      </w:pPr>
      <w:r>
        <w:rPr>
          <w:rFonts w:hint="eastAsia" w:eastAsia="仿宋"/>
          <w:color w:val="000000"/>
          <w:kern w:val="0"/>
          <w:sz w:val="28"/>
          <w:szCs w:val="28"/>
        </w:rPr>
        <w:t>4.</w:t>
      </w:r>
      <w:r>
        <w:rPr>
          <w:rFonts w:eastAsia="仿宋_GB2312"/>
          <w:sz w:val="28"/>
          <w:szCs w:val="28"/>
        </w:rPr>
        <w:t>会议由监事会</w:t>
      </w:r>
      <w:r>
        <w:rPr>
          <w:rFonts w:hint="eastAsia" w:eastAsia="仿宋_GB2312"/>
          <w:sz w:val="28"/>
          <w:szCs w:val="28"/>
        </w:rPr>
        <w:t>主席徐祖永</w:t>
      </w:r>
      <w:r>
        <w:rPr>
          <w:rFonts w:eastAsia="仿宋_GB2312"/>
          <w:sz w:val="28"/>
          <w:szCs w:val="28"/>
        </w:rPr>
        <w:t>先生主持。</w:t>
      </w:r>
    </w:p>
    <w:p>
      <w:pPr>
        <w:spacing w:line="580" w:lineRule="exact"/>
        <w:ind w:firstLine="560" w:firstLineChars="200"/>
        <w:rPr>
          <w:rFonts w:eastAsia="仿宋"/>
          <w:sz w:val="28"/>
          <w:szCs w:val="28"/>
        </w:rPr>
      </w:pPr>
      <w:r>
        <w:rPr>
          <w:rFonts w:hint="eastAsia" w:eastAsia="仿宋"/>
          <w:sz w:val="28"/>
          <w:szCs w:val="28"/>
        </w:rPr>
        <w:t>5.</w:t>
      </w:r>
      <w:r>
        <w:rPr>
          <w:rFonts w:eastAsia="仿宋"/>
          <w:sz w:val="28"/>
          <w:szCs w:val="28"/>
        </w:rPr>
        <w:t>出席会议的监事占公司全体监事人数的二分之一以上，符合《公司法》及公司《章程》的规定。</w:t>
      </w:r>
    </w:p>
    <w:p>
      <w:pPr>
        <w:spacing w:line="580" w:lineRule="exact"/>
        <w:ind w:firstLine="562" w:firstLineChars="200"/>
        <w:rPr>
          <w:rFonts w:eastAsia="仿宋"/>
          <w:b/>
          <w:sz w:val="28"/>
          <w:szCs w:val="28"/>
        </w:rPr>
      </w:pPr>
      <w:r>
        <w:rPr>
          <w:rFonts w:eastAsia="仿宋"/>
          <w:b/>
          <w:sz w:val="28"/>
          <w:szCs w:val="28"/>
        </w:rPr>
        <w:t>二、监事会会议审议情况</w:t>
      </w:r>
    </w:p>
    <w:p>
      <w:pPr>
        <w:spacing w:line="580" w:lineRule="exact"/>
        <w:ind w:firstLine="562" w:firstLineChars="200"/>
        <w:rPr>
          <w:rFonts w:eastAsia="仿宋"/>
          <w:b/>
          <w:sz w:val="28"/>
          <w:szCs w:val="28"/>
        </w:rPr>
      </w:pPr>
      <w:r>
        <w:rPr>
          <w:rFonts w:hint="eastAsia" w:eastAsia="仿宋"/>
          <w:b/>
          <w:sz w:val="28"/>
          <w:szCs w:val="28"/>
        </w:rPr>
        <w:t>1.关于公司所属企业拟接受上海发电设备成套设计研究院有限责任公司提供EPC工程总承包服务暨关联交易的议案</w:t>
      </w:r>
    </w:p>
    <w:p>
      <w:pPr>
        <w:spacing w:line="580" w:lineRule="exact"/>
        <w:ind w:firstLine="560" w:firstLineChars="200"/>
        <w:rPr>
          <w:rFonts w:eastAsia="仿宋" w:cs="仿宋"/>
          <w:sz w:val="28"/>
          <w:szCs w:val="28"/>
          <w:highlight w:val="yellow"/>
        </w:rPr>
      </w:pPr>
      <w:r>
        <w:rPr>
          <w:rFonts w:eastAsia="仿宋"/>
          <w:sz w:val="28"/>
          <w:szCs w:val="28"/>
        </w:rPr>
        <w:t>会议以</w:t>
      </w:r>
      <w:r>
        <w:rPr>
          <w:rFonts w:hint="eastAsia" w:eastAsia="仿宋"/>
          <w:sz w:val="28"/>
          <w:szCs w:val="28"/>
        </w:rPr>
        <w:t>5</w:t>
      </w:r>
      <w:r>
        <w:rPr>
          <w:rFonts w:eastAsia="仿宋"/>
          <w:sz w:val="28"/>
          <w:szCs w:val="28"/>
        </w:rPr>
        <w:t>票赞同、0票反对、0票弃权，审议</w:t>
      </w:r>
      <w:r>
        <w:rPr>
          <w:rFonts w:eastAsia="仿宋"/>
          <w:color w:val="000000"/>
          <w:sz w:val="28"/>
          <w:szCs w:val="28"/>
        </w:rPr>
        <w:t>通过了</w:t>
      </w:r>
      <w:r>
        <w:rPr>
          <w:rFonts w:eastAsia="仿宋"/>
          <w:sz w:val="28"/>
          <w:szCs w:val="28"/>
        </w:rPr>
        <w:t>《关于公司所属企业拟接受上海发电设备成套设计研究院有限责任公司提供EPC工程总承包服务暨关联交易的议案</w:t>
      </w:r>
      <w:r>
        <w:rPr>
          <w:rFonts w:eastAsia="仿宋"/>
          <w:color w:val="000000"/>
          <w:sz w:val="28"/>
          <w:szCs w:val="28"/>
        </w:rPr>
        <w:t>》</w:t>
      </w:r>
      <w:r>
        <w:rPr>
          <w:rFonts w:hint="eastAsia" w:eastAsia="仿宋" w:cs="仿宋"/>
          <w:sz w:val="28"/>
          <w:szCs w:val="28"/>
        </w:rPr>
        <w:t>，</w:t>
      </w:r>
      <w:r>
        <w:rPr>
          <w:rFonts w:hint="eastAsia" w:eastAsia="仿宋" w:cs="仿宋"/>
          <w:sz w:val="28"/>
          <w:szCs w:val="28"/>
          <w:lang w:val="en-US" w:eastAsia="zh-CN"/>
        </w:rPr>
        <w:t>同意</w:t>
      </w:r>
      <w:r>
        <w:rPr>
          <w:rFonts w:hint="eastAsia" w:eastAsia="仿宋"/>
          <w:sz w:val="28"/>
          <w:szCs w:val="28"/>
        </w:rPr>
        <w:t>公司所属企业和县吉能新能源有限公司 、平顺吉睿新能源有限公司、吉林电力股份有限公司白城发电公司</w:t>
      </w:r>
      <w:bookmarkStart w:id="0" w:name="_GoBack"/>
      <w:bookmarkEnd w:id="0"/>
      <w:r>
        <w:rPr>
          <w:rFonts w:hint="eastAsia" w:eastAsia="仿宋"/>
          <w:sz w:val="28"/>
          <w:szCs w:val="28"/>
        </w:rPr>
        <w:t>接受上海发电设备成套设计研究院有限责任公司提供EPC工程总承包服务</w:t>
      </w:r>
      <w:r>
        <w:rPr>
          <w:rFonts w:eastAsia="仿宋"/>
          <w:sz w:val="28"/>
          <w:szCs w:val="28"/>
        </w:rPr>
        <w:t>，</w:t>
      </w:r>
      <w:r>
        <w:rPr>
          <w:rFonts w:hint="eastAsia" w:eastAsia="仿宋"/>
          <w:sz w:val="28"/>
          <w:szCs w:val="28"/>
        </w:rPr>
        <w:t>合同总价88,628.0783万元</w:t>
      </w:r>
      <w:r>
        <w:rPr>
          <w:rFonts w:hint="eastAsia" w:eastAsia="仿宋"/>
          <w:sz w:val="28"/>
          <w:szCs w:val="28"/>
          <w:lang w:eastAsia="zh-CN"/>
        </w:rPr>
        <w:t>，</w:t>
      </w:r>
      <w:r>
        <w:rPr>
          <w:rFonts w:hint="eastAsia" w:eastAsia="仿宋"/>
          <w:bCs/>
          <w:sz w:val="28"/>
          <w:szCs w:val="28"/>
        </w:rPr>
        <w:t>本</w:t>
      </w:r>
      <w:r>
        <w:rPr>
          <w:rFonts w:hint="eastAsia" w:eastAsia="仿宋" w:cs="仿宋"/>
          <w:bCs/>
          <w:color w:val="000000"/>
          <w:sz w:val="28"/>
          <w:szCs w:val="28"/>
        </w:rPr>
        <w:t>议案需提交股东大会审议。</w:t>
      </w:r>
    </w:p>
    <w:p>
      <w:pPr>
        <w:pStyle w:val="23"/>
        <w:ind w:firstLine="560" w:firstLineChars="200"/>
        <w:rPr>
          <w:rFonts w:eastAsia="仿宋"/>
          <w:bCs/>
          <w:sz w:val="28"/>
          <w:szCs w:val="28"/>
        </w:rPr>
      </w:pPr>
      <w:r>
        <w:rPr>
          <w:rFonts w:hint="eastAsia" w:eastAsia="仿宋"/>
          <w:bCs/>
          <w:sz w:val="28"/>
          <w:szCs w:val="28"/>
        </w:rPr>
        <w:t>监事会认为：公司董事会在审议此议案时，关联董事李铁证先生和廖剑波先生履行了回避表决，董事会审议程序符合相关规定，该事项已经独立董事专门会议审议通过</w:t>
      </w:r>
      <w:r>
        <w:rPr>
          <w:rFonts w:hint="eastAsia" w:ascii="Times New Roman" w:eastAsia="仿宋" w:cs="Times New Roman"/>
          <w:sz w:val="28"/>
          <w:szCs w:val="28"/>
        </w:rPr>
        <w:t>，并已取得独立董事专门会议审查意见。</w:t>
      </w:r>
    </w:p>
    <w:p>
      <w:pPr>
        <w:spacing w:line="580" w:lineRule="exact"/>
        <w:ind w:firstLine="560" w:firstLineChars="200"/>
        <w:rPr>
          <w:rFonts w:eastAsia="仿宋"/>
          <w:bCs/>
          <w:sz w:val="28"/>
          <w:szCs w:val="28"/>
        </w:rPr>
      </w:pPr>
      <w:r>
        <w:rPr>
          <w:rFonts w:eastAsia="仿宋"/>
          <w:bCs/>
          <w:sz w:val="28"/>
          <w:szCs w:val="28"/>
        </w:rPr>
        <w:t>具体内容详见同日刊载于《中国证券报》《上海证券报》《证券时报》和巨潮资讯网上的《关于公司所属企业拟接受上海发电设备成套设计研究院有限责任公司提供EPC工程总承包服务暨关联交易的公告》（202</w:t>
      </w:r>
      <w:r>
        <w:rPr>
          <w:rFonts w:hint="eastAsia" w:eastAsia="仿宋"/>
          <w:bCs/>
          <w:sz w:val="28"/>
          <w:szCs w:val="28"/>
        </w:rPr>
        <w:t>4</w:t>
      </w:r>
      <w:r>
        <w:rPr>
          <w:rFonts w:eastAsia="仿宋"/>
          <w:bCs/>
          <w:sz w:val="28"/>
          <w:szCs w:val="28"/>
        </w:rPr>
        <w:t>-0</w:t>
      </w:r>
      <w:r>
        <w:rPr>
          <w:rFonts w:hint="eastAsia" w:eastAsia="仿宋"/>
          <w:bCs/>
          <w:sz w:val="28"/>
          <w:szCs w:val="28"/>
        </w:rPr>
        <w:t>18</w:t>
      </w:r>
      <w:r>
        <w:rPr>
          <w:rFonts w:eastAsia="仿宋"/>
          <w:bCs/>
          <w:sz w:val="28"/>
          <w:szCs w:val="28"/>
        </w:rPr>
        <w:t>）。</w:t>
      </w:r>
    </w:p>
    <w:p>
      <w:pPr>
        <w:spacing w:line="580" w:lineRule="exact"/>
        <w:ind w:firstLine="562" w:firstLineChars="200"/>
        <w:rPr>
          <w:rFonts w:eastAsia="仿宋"/>
          <w:b/>
          <w:sz w:val="28"/>
          <w:szCs w:val="28"/>
        </w:rPr>
      </w:pPr>
      <w:r>
        <w:rPr>
          <w:rFonts w:hint="eastAsia" w:eastAsia="仿宋"/>
          <w:b/>
          <w:sz w:val="28"/>
          <w:szCs w:val="28"/>
        </w:rPr>
        <w:t>2.关于公司所属企业拟接受上海能源科技发展有限公司提供EPC工程总承包服务暨关联交易的议案</w:t>
      </w:r>
    </w:p>
    <w:p>
      <w:pPr>
        <w:spacing w:line="580" w:lineRule="exact"/>
        <w:ind w:firstLine="560" w:firstLineChars="200"/>
        <w:rPr>
          <w:rFonts w:eastAsia="仿宋" w:cs="仿宋"/>
          <w:sz w:val="28"/>
          <w:szCs w:val="28"/>
        </w:rPr>
      </w:pPr>
      <w:r>
        <w:rPr>
          <w:rFonts w:eastAsia="仿宋"/>
          <w:sz w:val="28"/>
          <w:szCs w:val="28"/>
        </w:rPr>
        <w:t>会议以</w:t>
      </w:r>
      <w:r>
        <w:rPr>
          <w:rFonts w:hint="eastAsia" w:eastAsia="仿宋"/>
          <w:sz w:val="28"/>
          <w:szCs w:val="28"/>
        </w:rPr>
        <w:t>5</w:t>
      </w:r>
      <w:r>
        <w:rPr>
          <w:rFonts w:eastAsia="仿宋"/>
          <w:sz w:val="28"/>
          <w:szCs w:val="28"/>
        </w:rPr>
        <w:t>票赞同、0票反对、0票弃权，审议</w:t>
      </w:r>
      <w:r>
        <w:rPr>
          <w:rFonts w:eastAsia="仿宋"/>
          <w:color w:val="000000"/>
          <w:sz w:val="28"/>
          <w:szCs w:val="28"/>
        </w:rPr>
        <w:t>通过了</w:t>
      </w:r>
      <w:r>
        <w:rPr>
          <w:rFonts w:eastAsia="仿宋"/>
          <w:sz w:val="28"/>
          <w:szCs w:val="28"/>
        </w:rPr>
        <w:t>《关于公司所属企业拟接受上海能源科技发展有限公司提供EPC工程总承包服务暨关联交易的议案</w:t>
      </w:r>
      <w:r>
        <w:rPr>
          <w:rFonts w:eastAsia="仿宋"/>
          <w:color w:val="000000"/>
          <w:sz w:val="28"/>
          <w:szCs w:val="28"/>
        </w:rPr>
        <w:t>》</w:t>
      </w:r>
      <w:r>
        <w:rPr>
          <w:rFonts w:hint="eastAsia" w:eastAsia="仿宋" w:cs="仿宋"/>
          <w:sz w:val="28"/>
          <w:szCs w:val="28"/>
        </w:rPr>
        <w:t>，</w:t>
      </w:r>
      <w:r>
        <w:rPr>
          <w:rFonts w:hint="eastAsia" w:eastAsia="仿宋"/>
          <w:sz w:val="28"/>
          <w:szCs w:val="28"/>
        </w:rPr>
        <w:t>同意公司所属企业广西吉投智慧能源科技有限公司接受上海能源科技发展有限公司提供EPC工程总承包服务，合同总价225,636.44万元</w:t>
      </w:r>
      <w:r>
        <w:rPr>
          <w:rFonts w:hint="eastAsia" w:eastAsia="仿宋"/>
          <w:sz w:val="28"/>
          <w:szCs w:val="28"/>
          <w:lang w:eastAsia="zh-CN"/>
        </w:rPr>
        <w:t>，</w:t>
      </w:r>
      <w:r>
        <w:rPr>
          <w:rFonts w:hint="eastAsia" w:eastAsia="仿宋"/>
          <w:bCs/>
          <w:sz w:val="28"/>
          <w:szCs w:val="28"/>
        </w:rPr>
        <w:t>本</w:t>
      </w:r>
      <w:r>
        <w:rPr>
          <w:rFonts w:hint="eastAsia" w:eastAsia="仿宋" w:cs="仿宋"/>
          <w:bCs/>
          <w:color w:val="000000"/>
          <w:sz w:val="28"/>
          <w:szCs w:val="28"/>
        </w:rPr>
        <w:t>议案需提交股东大会审议。</w:t>
      </w:r>
    </w:p>
    <w:p>
      <w:pPr>
        <w:pStyle w:val="23"/>
        <w:spacing w:line="580" w:lineRule="exact"/>
        <w:ind w:firstLine="560" w:firstLineChars="200"/>
        <w:rPr>
          <w:rFonts w:eastAsia="仿宋"/>
          <w:bCs/>
          <w:sz w:val="28"/>
          <w:szCs w:val="28"/>
        </w:rPr>
      </w:pPr>
      <w:r>
        <w:rPr>
          <w:rFonts w:hint="eastAsia" w:eastAsia="仿宋"/>
          <w:bCs/>
          <w:sz w:val="28"/>
          <w:szCs w:val="28"/>
        </w:rPr>
        <w:t>监事会认为：公司董事会在审议此议案时，关联董事李铁证先生和廖剑波先生履行了回避表决，董事会审议程序符合相关规定，该事项已经独立董事专门会议审议通过</w:t>
      </w:r>
      <w:r>
        <w:rPr>
          <w:rFonts w:hint="eastAsia" w:ascii="Times New Roman" w:eastAsia="仿宋" w:cs="Times New Roman"/>
          <w:sz w:val="28"/>
          <w:szCs w:val="28"/>
        </w:rPr>
        <w:t>，并已取得独立董事专门会议审查意见。</w:t>
      </w:r>
    </w:p>
    <w:p>
      <w:pPr>
        <w:spacing w:line="580" w:lineRule="exact"/>
        <w:ind w:firstLine="560" w:firstLineChars="200"/>
        <w:rPr>
          <w:rFonts w:eastAsia="仿宋"/>
          <w:bCs/>
          <w:sz w:val="28"/>
          <w:szCs w:val="28"/>
        </w:rPr>
      </w:pPr>
      <w:r>
        <w:rPr>
          <w:rFonts w:eastAsia="仿宋"/>
          <w:bCs/>
          <w:sz w:val="28"/>
          <w:szCs w:val="28"/>
        </w:rPr>
        <w:t>具体内容详见同日刊载于《中国证券报》《上海证券报》《证券时报》和巨潮资讯网上的《</w:t>
      </w:r>
      <w:r>
        <w:rPr>
          <w:rFonts w:eastAsia="仿宋"/>
          <w:sz w:val="28"/>
          <w:szCs w:val="28"/>
        </w:rPr>
        <w:t>关于公司所属企业拟接受上海能源科技发展有限公司提供EPC工程总承包服务暨关联交易的</w:t>
      </w:r>
      <w:r>
        <w:rPr>
          <w:rFonts w:eastAsia="仿宋"/>
          <w:bCs/>
          <w:sz w:val="28"/>
          <w:szCs w:val="28"/>
        </w:rPr>
        <w:t>公告》（202</w:t>
      </w:r>
      <w:r>
        <w:rPr>
          <w:rFonts w:hint="eastAsia" w:eastAsia="仿宋"/>
          <w:bCs/>
          <w:sz w:val="28"/>
          <w:szCs w:val="28"/>
        </w:rPr>
        <w:t>4</w:t>
      </w:r>
      <w:r>
        <w:rPr>
          <w:rFonts w:eastAsia="仿宋"/>
          <w:bCs/>
          <w:sz w:val="28"/>
          <w:szCs w:val="28"/>
        </w:rPr>
        <w:t>-0</w:t>
      </w:r>
      <w:r>
        <w:rPr>
          <w:rFonts w:hint="eastAsia" w:eastAsia="仿宋"/>
          <w:bCs/>
          <w:sz w:val="28"/>
          <w:szCs w:val="28"/>
        </w:rPr>
        <w:t>19</w:t>
      </w:r>
      <w:r>
        <w:rPr>
          <w:rFonts w:eastAsia="仿宋"/>
          <w:bCs/>
          <w:sz w:val="28"/>
          <w:szCs w:val="28"/>
        </w:rPr>
        <w:t>）。</w:t>
      </w:r>
    </w:p>
    <w:p>
      <w:pPr>
        <w:spacing w:line="580" w:lineRule="exact"/>
        <w:ind w:firstLine="562" w:firstLineChars="200"/>
        <w:rPr>
          <w:rFonts w:eastAsia="仿宋"/>
          <w:b/>
          <w:sz w:val="28"/>
          <w:szCs w:val="28"/>
        </w:rPr>
      </w:pPr>
      <w:r>
        <w:rPr>
          <w:rFonts w:hint="eastAsia" w:eastAsia="仿宋"/>
          <w:b/>
          <w:sz w:val="28"/>
          <w:szCs w:val="28"/>
        </w:rPr>
        <w:t>3.关于提请股东大会延长授权董事会全权办理公司向特定对象发行股票相关事宜有效期的议案</w:t>
      </w:r>
    </w:p>
    <w:p>
      <w:pPr>
        <w:pStyle w:val="23"/>
        <w:ind w:firstLine="560" w:firstLineChars="200"/>
        <w:rPr>
          <w:rFonts w:eastAsia="仿宋"/>
          <w:bCs/>
          <w:sz w:val="28"/>
          <w:szCs w:val="28"/>
        </w:rPr>
      </w:pPr>
      <w:r>
        <w:rPr>
          <w:rFonts w:hint="eastAsia" w:eastAsia="仿宋"/>
          <w:bCs/>
          <w:sz w:val="28"/>
          <w:szCs w:val="28"/>
        </w:rPr>
        <w:t>会</w:t>
      </w:r>
      <w:r>
        <w:rPr>
          <w:rFonts w:hint="default" w:ascii="Times New Roman" w:eastAsia="仿宋" w:cs="Times New Roman"/>
          <w:bCs/>
          <w:sz w:val="28"/>
          <w:szCs w:val="28"/>
        </w:rPr>
        <w:t>议以5票赞同、0票反对、0</w:t>
      </w:r>
      <w:r>
        <w:rPr>
          <w:rFonts w:hint="eastAsia" w:eastAsia="仿宋"/>
          <w:bCs/>
          <w:sz w:val="28"/>
          <w:szCs w:val="28"/>
        </w:rPr>
        <w:t>票弃权，通过了《关于提请股东大会延长授权董事会全权办理公司向特定对象发行股票相关事宜有效期的议案》。</w:t>
      </w:r>
      <w:r>
        <w:rPr>
          <w:rFonts w:hint="eastAsia" w:hAnsi="仿宋" w:eastAsia="仿宋"/>
          <w:bCs/>
          <w:color w:val="000000"/>
          <w:kern w:val="0"/>
          <w:sz w:val="28"/>
          <w:szCs w:val="28"/>
          <w:highlight w:val="none"/>
          <w:lang w:val="en-US" w:eastAsia="zh-CN"/>
        </w:rPr>
        <w:t>同意</w:t>
      </w:r>
      <w:r>
        <w:rPr>
          <w:rFonts w:hint="eastAsia" w:ascii="Times New Roman" w:hAnsi="Times New Roman" w:eastAsia="仿宋" w:cs="Times New Roman"/>
          <w:kern w:val="0"/>
          <w:sz w:val="28"/>
          <w:szCs w:val="28"/>
          <w:lang w:val="en-US" w:eastAsia="zh-CN"/>
        </w:rPr>
        <w:t>提交</w:t>
      </w:r>
      <w:r>
        <w:rPr>
          <w:rFonts w:ascii="Times New Roman" w:hAnsi="Times New Roman" w:eastAsia="仿宋" w:cs="Times New Roman"/>
          <w:kern w:val="0"/>
          <w:sz w:val="28"/>
          <w:szCs w:val="28"/>
        </w:rPr>
        <w:t>股东大会</w:t>
      </w:r>
      <w:r>
        <w:rPr>
          <w:rFonts w:hint="eastAsia" w:ascii="Times New Roman" w:hAnsi="Times New Roman" w:eastAsia="仿宋" w:cs="Times New Roman"/>
          <w:kern w:val="0"/>
          <w:sz w:val="28"/>
          <w:szCs w:val="28"/>
          <w:lang w:val="en-US" w:eastAsia="zh-CN"/>
        </w:rPr>
        <w:t>审议延长授权董事会全权办理公司向特定对象发行股票相关事宜有效期</w:t>
      </w:r>
      <w:r>
        <w:rPr>
          <w:rFonts w:hint="eastAsia" w:ascii="Times New Roman" w:hAnsi="Times New Roman" w:eastAsia="仿宋" w:cs="Times New Roman"/>
          <w:kern w:val="0"/>
          <w:sz w:val="28"/>
          <w:szCs w:val="28"/>
        </w:rPr>
        <w:t>，延长期限为原有效期届满之日起12个月。</w:t>
      </w:r>
      <w:r>
        <w:rPr>
          <w:rFonts w:hint="eastAsia" w:eastAsia="仿宋"/>
          <w:bCs/>
          <w:sz w:val="28"/>
          <w:szCs w:val="28"/>
        </w:rPr>
        <w:t>本</w:t>
      </w:r>
      <w:r>
        <w:rPr>
          <w:rFonts w:hint="eastAsia" w:eastAsia="仿宋" w:cs="仿宋"/>
          <w:bCs/>
          <w:color w:val="000000"/>
          <w:sz w:val="28"/>
          <w:szCs w:val="28"/>
        </w:rPr>
        <w:t>议案需提交股东大会审议。</w:t>
      </w:r>
    </w:p>
    <w:p>
      <w:pPr>
        <w:spacing w:line="580" w:lineRule="exact"/>
        <w:ind w:firstLine="560" w:firstLineChars="200"/>
        <w:rPr>
          <w:rFonts w:hint="eastAsia" w:eastAsia="仿宋"/>
          <w:bCs/>
          <w:sz w:val="28"/>
          <w:szCs w:val="28"/>
          <w:lang w:eastAsia="zh-CN"/>
        </w:rPr>
      </w:pPr>
      <w:r>
        <w:rPr>
          <w:rFonts w:hint="eastAsia" w:eastAsia="仿宋"/>
          <w:bCs/>
          <w:sz w:val="28"/>
          <w:szCs w:val="28"/>
        </w:rPr>
        <w:t>具体内容详见同日刊载于《中国证券报》《上海证券报》《证券时报》和巨潮资讯网上的《关于公司延长授权董事会全权办理公司向特定对象发行股票相关事宜有效期的公告》(2024-020)</w:t>
      </w:r>
      <w:r>
        <w:rPr>
          <w:rFonts w:hint="eastAsia" w:eastAsia="仿宋"/>
          <w:bCs/>
          <w:sz w:val="28"/>
          <w:szCs w:val="28"/>
          <w:lang w:eastAsia="zh-CN"/>
        </w:rPr>
        <w:t>。</w:t>
      </w:r>
    </w:p>
    <w:p>
      <w:pPr>
        <w:spacing w:line="580" w:lineRule="exact"/>
        <w:ind w:firstLine="562" w:firstLineChars="200"/>
        <w:rPr>
          <w:rFonts w:eastAsia="仿宋"/>
          <w:b/>
          <w:sz w:val="28"/>
          <w:szCs w:val="28"/>
        </w:rPr>
      </w:pPr>
      <w:r>
        <w:rPr>
          <w:rFonts w:eastAsia="仿宋"/>
          <w:b/>
          <w:sz w:val="28"/>
          <w:szCs w:val="28"/>
        </w:rPr>
        <w:t>三、备查文件</w:t>
      </w:r>
    </w:p>
    <w:p>
      <w:pPr>
        <w:spacing w:line="580" w:lineRule="exact"/>
        <w:ind w:firstLine="560" w:firstLineChars="200"/>
        <w:rPr>
          <w:rFonts w:eastAsia="仿宋"/>
          <w:sz w:val="28"/>
          <w:szCs w:val="28"/>
        </w:rPr>
      </w:pPr>
      <w:r>
        <w:rPr>
          <w:rFonts w:eastAsia="仿宋"/>
          <w:sz w:val="28"/>
          <w:szCs w:val="28"/>
        </w:rPr>
        <w:t>经与会监事签字并加盖监事会印章的监事会决议。</w:t>
      </w:r>
    </w:p>
    <w:p>
      <w:pPr>
        <w:spacing w:line="580" w:lineRule="exact"/>
        <w:ind w:firstLine="560" w:firstLineChars="200"/>
        <w:rPr>
          <w:rFonts w:eastAsia="仿宋"/>
          <w:sz w:val="28"/>
          <w:szCs w:val="28"/>
        </w:rPr>
      </w:pPr>
    </w:p>
    <w:p>
      <w:pPr>
        <w:spacing w:line="580" w:lineRule="exact"/>
        <w:ind w:firstLine="560" w:firstLineChars="200"/>
        <w:rPr>
          <w:rFonts w:eastAsia="仿宋"/>
          <w:sz w:val="28"/>
          <w:szCs w:val="28"/>
        </w:rPr>
      </w:pPr>
      <w:r>
        <w:rPr>
          <w:rFonts w:eastAsia="仿宋"/>
          <w:sz w:val="28"/>
          <w:szCs w:val="28"/>
        </w:rPr>
        <w:t>特此公告。</w:t>
      </w:r>
    </w:p>
    <w:p>
      <w:pPr>
        <w:spacing w:line="580" w:lineRule="exact"/>
        <w:ind w:firstLine="4620" w:firstLineChars="1650"/>
        <w:rPr>
          <w:rFonts w:eastAsia="仿宋"/>
          <w:sz w:val="28"/>
          <w:szCs w:val="28"/>
        </w:rPr>
      </w:pPr>
    </w:p>
    <w:p>
      <w:pPr>
        <w:spacing w:line="580" w:lineRule="exact"/>
        <w:ind w:firstLine="4620" w:firstLineChars="1650"/>
        <w:rPr>
          <w:rFonts w:eastAsia="仿宋"/>
          <w:sz w:val="28"/>
          <w:szCs w:val="28"/>
        </w:rPr>
      </w:pPr>
    </w:p>
    <w:p>
      <w:pPr>
        <w:spacing w:line="580" w:lineRule="exact"/>
        <w:ind w:firstLine="4620" w:firstLineChars="1650"/>
        <w:rPr>
          <w:rFonts w:eastAsia="仿宋"/>
          <w:sz w:val="28"/>
          <w:szCs w:val="28"/>
        </w:rPr>
      </w:pPr>
      <w:r>
        <w:rPr>
          <w:rFonts w:hint="eastAsia" w:eastAsia="仿宋"/>
          <w:sz w:val="28"/>
          <w:szCs w:val="28"/>
        </w:rPr>
        <w:t>吉</w:t>
      </w:r>
      <w:r>
        <w:rPr>
          <w:rFonts w:eastAsia="仿宋"/>
          <w:sz w:val="28"/>
          <w:szCs w:val="28"/>
        </w:rPr>
        <w:t>林电力股份有限公司监事会</w:t>
      </w:r>
    </w:p>
    <w:p>
      <w:pPr>
        <w:tabs>
          <w:tab w:val="left" w:pos="2805"/>
          <w:tab w:val="right" w:pos="8026"/>
        </w:tabs>
        <w:spacing w:line="580" w:lineRule="exact"/>
      </w:pPr>
      <w:r>
        <w:rPr>
          <w:rFonts w:eastAsia="仿宋"/>
          <w:sz w:val="28"/>
          <w:szCs w:val="28"/>
        </w:rPr>
        <w:tab/>
      </w:r>
      <w:r>
        <w:rPr>
          <w:rFonts w:eastAsia="仿宋"/>
          <w:sz w:val="28"/>
          <w:szCs w:val="28"/>
        </w:rPr>
        <w:tab/>
      </w:r>
      <w:r>
        <w:rPr>
          <w:rFonts w:hint="eastAsia" w:eastAsia="仿宋"/>
          <w:sz w:val="28"/>
          <w:szCs w:val="28"/>
        </w:rPr>
        <w:t xml:space="preserve"> </w:t>
      </w:r>
      <w:r>
        <w:rPr>
          <w:rFonts w:ascii="仿宋" w:hAnsi="仿宋" w:eastAsia="仿宋"/>
          <w:sz w:val="28"/>
          <w:szCs w:val="28"/>
        </w:rPr>
        <w:t>二○二</w:t>
      </w:r>
      <w:r>
        <w:rPr>
          <w:rFonts w:hint="eastAsia" w:ascii="仿宋" w:hAnsi="仿宋" w:eastAsia="仿宋"/>
          <w:sz w:val="28"/>
          <w:szCs w:val="28"/>
        </w:rPr>
        <w:t>四</w:t>
      </w:r>
      <w:r>
        <w:rPr>
          <w:rFonts w:ascii="仿宋" w:hAnsi="仿宋" w:eastAsia="仿宋"/>
          <w:sz w:val="28"/>
          <w:szCs w:val="28"/>
        </w:rPr>
        <w:t>年</w:t>
      </w:r>
      <w:r>
        <w:rPr>
          <w:rFonts w:hint="eastAsia" w:ascii="仿宋" w:hAnsi="仿宋" w:eastAsia="仿宋"/>
          <w:sz w:val="28"/>
          <w:szCs w:val="28"/>
        </w:rPr>
        <w:t>三</w:t>
      </w:r>
      <w:r>
        <w:rPr>
          <w:rFonts w:ascii="仿宋" w:hAnsi="仿宋" w:eastAsia="仿宋"/>
          <w:sz w:val="28"/>
          <w:szCs w:val="28"/>
        </w:rPr>
        <w:t>月</w:t>
      </w:r>
      <w:r>
        <w:rPr>
          <w:rFonts w:hint="eastAsia" w:ascii="仿宋" w:hAnsi="仿宋" w:eastAsia="仿宋"/>
          <w:sz w:val="28"/>
          <w:szCs w:val="28"/>
        </w:rPr>
        <w:t>十九</w:t>
      </w:r>
      <w:r>
        <w:rPr>
          <w:rFonts w:ascii="仿宋" w:hAnsi="仿宋" w:eastAsia="仿宋"/>
          <w:sz w:val="28"/>
          <w:szCs w:val="28"/>
        </w:rPr>
        <w:t>日</w:t>
      </w: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_x000B__x000C_">
    <w:altName w:val="Times New Roman"/>
    <w:panose1 w:val="020B0604020202020204"/>
    <w:charset w:val="00"/>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1"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5"/>
      </w:rPr>
    </w:pPr>
    <w:r>
      <w:fldChar w:fldCharType="begin"/>
    </w:r>
    <w:r>
      <w:rPr>
        <w:rStyle w:val="15"/>
      </w:rPr>
      <w:instrText xml:space="preserve">PAGE  </w:instrText>
    </w:r>
    <w:r>
      <w:fldChar w:fldCharType="separate"/>
    </w:r>
    <w:r>
      <w:rPr>
        <w:rStyle w:val="15"/>
      </w:rPr>
      <w:t>8</w:t>
    </w:r>
    <w:r>
      <w:fldChar w:fldCharType="end"/>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5"/>
      </w:rPr>
    </w:pPr>
    <w:r>
      <w:fldChar w:fldCharType="begin"/>
    </w:r>
    <w:r>
      <w:rPr>
        <w:rStyle w:val="15"/>
      </w:rPr>
      <w:instrText xml:space="preserve">PAGE  </w:instrText>
    </w:r>
    <w:r>
      <w:fldChar w:fldCharType="separate"/>
    </w:r>
    <w:r>
      <w:fldChar w:fldCharType="end"/>
    </w:r>
  </w:p>
  <w:p>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yZDUxMmU3NmEwMTE5M2Q5ZTg0MGVmOGY5OWRhMDQifQ=="/>
  </w:docVars>
  <w:rsids>
    <w:rsidRoot w:val="00172A27"/>
    <w:rsid w:val="00020CDB"/>
    <w:rsid w:val="00035452"/>
    <w:rsid w:val="00035F6F"/>
    <w:rsid w:val="00063A8D"/>
    <w:rsid w:val="000A3C4A"/>
    <w:rsid w:val="000B5D56"/>
    <w:rsid w:val="000C5011"/>
    <w:rsid w:val="000E6514"/>
    <w:rsid w:val="000F734A"/>
    <w:rsid w:val="00104D9F"/>
    <w:rsid w:val="00134B4B"/>
    <w:rsid w:val="00157C41"/>
    <w:rsid w:val="00172A27"/>
    <w:rsid w:val="00197FC0"/>
    <w:rsid w:val="001A7862"/>
    <w:rsid w:val="0020467F"/>
    <w:rsid w:val="00223111"/>
    <w:rsid w:val="00254885"/>
    <w:rsid w:val="0027644C"/>
    <w:rsid w:val="00294C77"/>
    <w:rsid w:val="002959AD"/>
    <w:rsid w:val="00296099"/>
    <w:rsid w:val="002E0B33"/>
    <w:rsid w:val="003272C8"/>
    <w:rsid w:val="0037231A"/>
    <w:rsid w:val="00417154"/>
    <w:rsid w:val="00435FF7"/>
    <w:rsid w:val="00442FF0"/>
    <w:rsid w:val="004474AC"/>
    <w:rsid w:val="00482ACC"/>
    <w:rsid w:val="004A1979"/>
    <w:rsid w:val="004C0534"/>
    <w:rsid w:val="004E2C25"/>
    <w:rsid w:val="00521116"/>
    <w:rsid w:val="005522CD"/>
    <w:rsid w:val="005B5D55"/>
    <w:rsid w:val="005D77D5"/>
    <w:rsid w:val="005D7A2B"/>
    <w:rsid w:val="005E058B"/>
    <w:rsid w:val="005E6B27"/>
    <w:rsid w:val="005F2F6B"/>
    <w:rsid w:val="00600112"/>
    <w:rsid w:val="0061266F"/>
    <w:rsid w:val="00630AA6"/>
    <w:rsid w:val="006975D6"/>
    <w:rsid w:val="006E047C"/>
    <w:rsid w:val="00773A4B"/>
    <w:rsid w:val="0078109F"/>
    <w:rsid w:val="00782370"/>
    <w:rsid w:val="00786090"/>
    <w:rsid w:val="007A45D4"/>
    <w:rsid w:val="007D1C7B"/>
    <w:rsid w:val="007F501E"/>
    <w:rsid w:val="00806C3C"/>
    <w:rsid w:val="00806E60"/>
    <w:rsid w:val="00821C03"/>
    <w:rsid w:val="00850FCA"/>
    <w:rsid w:val="008B4D38"/>
    <w:rsid w:val="008C7CDA"/>
    <w:rsid w:val="00927840"/>
    <w:rsid w:val="00961D15"/>
    <w:rsid w:val="00965EFA"/>
    <w:rsid w:val="0097169A"/>
    <w:rsid w:val="009902D5"/>
    <w:rsid w:val="00991474"/>
    <w:rsid w:val="009B2060"/>
    <w:rsid w:val="00A16278"/>
    <w:rsid w:val="00A32597"/>
    <w:rsid w:val="00A41462"/>
    <w:rsid w:val="00AA3F7F"/>
    <w:rsid w:val="00AB1C6E"/>
    <w:rsid w:val="00AB699D"/>
    <w:rsid w:val="00AE69E0"/>
    <w:rsid w:val="00AF351C"/>
    <w:rsid w:val="00B128BC"/>
    <w:rsid w:val="00B336D5"/>
    <w:rsid w:val="00BE5F88"/>
    <w:rsid w:val="00BF1DFD"/>
    <w:rsid w:val="00BF4EDD"/>
    <w:rsid w:val="00BF7E4A"/>
    <w:rsid w:val="00C029BA"/>
    <w:rsid w:val="00C4476B"/>
    <w:rsid w:val="00C61CAA"/>
    <w:rsid w:val="00CA2548"/>
    <w:rsid w:val="00CF57DB"/>
    <w:rsid w:val="00D00DAA"/>
    <w:rsid w:val="00D07125"/>
    <w:rsid w:val="00D259B3"/>
    <w:rsid w:val="00D61B0A"/>
    <w:rsid w:val="00D8439F"/>
    <w:rsid w:val="00D87228"/>
    <w:rsid w:val="00DE7FE5"/>
    <w:rsid w:val="00DF2967"/>
    <w:rsid w:val="00E06F72"/>
    <w:rsid w:val="00E322E8"/>
    <w:rsid w:val="00E434F4"/>
    <w:rsid w:val="00E867D9"/>
    <w:rsid w:val="00E87057"/>
    <w:rsid w:val="00E968B0"/>
    <w:rsid w:val="00EC38C2"/>
    <w:rsid w:val="00F04D26"/>
    <w:rsid w:val="00F210DE"/>
    <w:rsid w:val="00F34F1E"/>
    <w:rsid w:val="00F41469"/>
    <w:rsid w:val="00F83A50"/>
    <w:rsid w:val="00FA6957"/>
    <w:rsid w:val="00FC7CDD"/>
    <w:rsid w:val="00FD4924"/>
    <w:rsid w:val="01411C55"/>
    <w:rsid w:val="01641BAD"/>
    <w:rsid w:val="01FA3894"/>
    <w:rsid w:val="03BC0CC1"/>
    <w:rsid w:val="046A4330"/>
    <w:rsid w:val="05211E97"/>
    <w:rsid w:val="053C36A1"/>
    <w:rsid w:val="06CE0E6C"/>
    <w:rsid w:val="06E41591"/>
    <w:rsid w:val="07853055"/>
    <w:rsid w:val="08555D85"/>
    <w:rsid w:val="08870C19"/>
    <w:rsid w:val="099B5FE8"/>
    <w:rsid w:val="0A7720BF"/>
    <w:rsid w:val="0AA552A8"/>
    <w:rsid w:val="0B2B47BA"/>
    <w:rsid w:val="0C3D3ECB"/>
    <w:rsid w:val="0E74495A"/>
    <w:rsid w:val="0ED41C1F"/>
    <w:rsid w:val="0F2E4A1B"/>
    <w:rsid w:val="102E0EE3"/>
    <w:rsid w:val="10506974"/>
    <w:rsid w:val="11374CBB"/>
    <w:rsid w:val="118442A0"/>
    <w:rsid w:val="11B42A29"/>
    <w:rsid w:val="12144569"/>
    <w:rsid w:val="12216C8B"/>
    <w:rsid w:val="134157C5"/>
    <w:rsid w:val="1382001C"/>
    <w:rsid w:val="14077BDA"/>
    <w:rsid w:val="1459096F"/>
    <w:rsid w:val="14B36996"/>
    <w:rsid w:val="14EF0946"/>
    <w:rsid w:val="16AC5819"/>
    <w:rsid w:val="177210F4"/>
    <w:rsid w:val="18B7393A"/>
    <w:rsid w:val="19BE287C"/>
    <w:rsid w:val="1A455668"/>
    <w:rsid w:val="1AC739FE"/>
    <w:rsid w:val="1B667887"/>
    <w:rsid w:val="1BF04D1A"/>
    <w:rsid w:val="1C252EBD"/>
    <w:rsid w:val="1E452750"/>
    <w:rsid w:val="1EE61282"/>
    <w:rsid w:val="202538B8"/>
    <w:rsid w:val="203715BC"/>
    <w:rsid w:val="204732C0"/>
    <w:rsid w:val="204F7A20"/>
    <w:rsid w:val="212A32FB"/>
    <w:rsid w:val="214E2A87"/>
    <w:rsid w:val="2237084A"/>
    <w:rsid w:val="224D4BEA"/>
    <w:rsid w:val="237C6B75"/>
    <w:rsid w:val="238B4FEE"/>
    <w:rsid w:val="242A142B"/>
    <w:rsid w:val="251505A8"/>
    <w:rsid w:val="25354C69"/>
    <w:rsid w:val="273B4F78"/>
    <w:rsid w:val="297D4844"/>
    <w:rsid w:val="2AA50633"/>
    <w:rsid w:val="2BD77A9C"/>
    <w:rsid w:val="2BDC46D9"/>
    <w:rsid w:val="2C782F45"/>
    <w:rsid w:val="2CCA74BB"/>
    <w:rsid w:val="2CF22EAC"/>
    <w:rsid w:val="2D0A4A3C"/>
    <w:rsid w:val="2D18338A"/>
    <w:rsid w:val="2E524629"/>
    <w:rsid w:val="30141A6E"/>
    <w:rsid w:val="30C71216"/>
    <w:rsid w:val="31C30A7C"/>
    <w:rsid w:val="31F07F7E"/>
    <w:rsid w:val="321A50E9"/>
    <w:rsid w:val="326856A5"/>
    <w:rsid w:val="32690366"/>
    <w:rsid w:val="32E35645"/>
    <w:rsid w:val="32E6467A"/>
    <w:rsid w:val="33AF3B80"/>
    <w:rsid w:val="354B3634"/>
    <w:rsid w:val="36051918"/>
    <w:rsid w:val="367029AB"/>
    <w:rsid w:val="374D117B"/>
    <w:rsid w:val="3819561D"/>
    <w:rsid w:val="392D28C0"/>
    <w:rsid w:val="393F36E0"/>
    <w:rsid w:val="3C5477BA"/>
    <w:rsid w:val="3CA345A8"/>
    <w:rsid w:val="3CCC7276"/>
    <w:rsid w:val="3D062DA2"/>
    <w:rsid w:val="3EE96044"/>
    <w:rsid w:val="40643C9B"/>
    <w:rsid w:val="40894472"/>
    <w:rsid w:val="410E5E66"/>
    <w:rsid w:val="41106103"/>
    <w:rsid w:val="41CC7876"/>
    <w:rsid w:val="41FC7B80"/>
    <w:rsid w:val="43145C00"/>
    <w:rsid w:val="433A2396"/>
    <w:rsid w:val="43775F23"/>
    <w:rsid w:val="442D6CE5"/>
    <w:rsid w:val="44A71F58"/>
    <w:rsid w:val="44BA1716"/>
    <w:rsid w:val="44F72DC6"/>
    <w:rsid w:val="45230373"/>
    <w:rsid w:val="45C86AD0"/>
    <w:rsid w:val="46055158"/>
    <w:rsid w:val="4664520C"/>
    <w:rsid w:val="470B543D"/>
    <w:rsid w:val="48E65FE3"/>
    <w:rsid w:val="49424B4C"/>
    <w:rsid w:val="49713CD0"/>
    <w:rsid w:val="4A2A6880"/>
    <w:rsid w:val="4B732DBE"/>
    <w:rsid w:val="4B8975BB"/>
    <w:rsid w:val="4BEB7797"/>
    <w:rsid w:val="4C0F742A"/>
    <w:rsid w:val="4C3C5E71"/>
    <w:rsid w:val="4D827663"/>
    <w:rsid w:val="4E000611"/>
    <w:rsid w:val="4EF96157"/>
    <w:rsid w:val="4F59499F"/>
    <w:rsid w:val="4F9206E2"/>
    <w:rsid w:val="50E84C2F"/>
    <w:rsid w:val="51344372"/>
    <w:rsid w:val="526818ED"/>
    <w:rsid w:val="531C4FC6"/>
    <w:rsid w:val="54361EF4"/>
    <w:rsid w:val="54B24362"/>
    <w:rsid w:val="54EB0334"/>
    <w:rsid w:val="56A143BE"/>
    <w:rsid w:val="56E25ADD"/>
    <w:rsid w:val="56EA27CC"/>
    <w:rsid w:val="56F53F18"/>
    <w:rsid w:val="574654A4"/>
    <w:rsid w:val="575C141E"/>
    <w:rsid w:val="57981DA5"/>
    <w:rsid w:val="57E312B1"/>
    <w:rsid w:val="58F728F9"/>
    <w:rsid w:val="595D4310"/>
    <w:rsid w:val="599D56DD"/>
    <w:rsid w:val="5A667B77"/>
    <w:rsid w:val="5B304657"/>
    <w:rsid w:val="5B7360CD"/>
    <w:rsid w:val="5B9F4593"/>
    <w:rsid w:val="5BCE4964"/>
    <w:rsid w:val="5C1440BB"/>
    <w:rsid w:val="5D573A29"/>
    <w:rsid w:val="5EE254AC"/>
    <w:rsid w:val="5F1C2907"/>
    <w:rsid w:val="60040D16"/>
    <w:rsid w:val="60551C0A"/>
    <w:rsid w:val="609858DB"/>
    <w:rsid w:val="610E7C49"/>
    <w:rsid w:val="6170257C"/>
    <w:rsid w:val="61ED03A7"/>
    <w:rsid w:val="61F54646"/>
    <w:rsid w:val="628400E5"/>
    <w:rsid w:val="64566206"/>
    <w:rsid w:val="64B3073A"/>
    <w:rsid w:val="65C57704"/>
    <w:rsid w:val="675225E6"/>
    <w:rsid w:val="67C970B8"/>
    <w:rsid w:val="698C7DE8"/>
    <w:rsid w:val="6A6B4FBD"/>
    <w:rsid w:val="6CE13DC4"/>
    <w:rsid w:val="6D7D03E1"/>
    <w:rsid w:val="6DEA0030"/>
    <w:rsid w:val="6FBC418C"/>
    <w:rsid w:val="70221B36"/>
    <w:rsid w:val="703B260F"/>
    <w:rsid w:val="727E688C"/>
    <w:rsid w:val="73DF75FB"/>
    <w:rsid w:val="762F7ACA"/>
    <w:rsid w:val="7794227D"/>
    <w:rsid w:val="77E777A4"/>
    <w:rsid w:val="78582600"/>
    <w:rsid w:val="78BD1957"/>
    <w:rsid w:val="7A0C0D93"/>
    <w:rsid w:val="7A93429D"/>
    <w:rsid w:val="7ACA6A42"/>
    <w:rsid w:val="7B472CC2"/>
    <w:rsid w:val="7CEE3D71"/>
    <w:rsid w:val="7D4B1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3">
    <w:name w:val="Default Paragraph Font"/>
    <w:semiHidden/>
    <w:unhideWhenUsed/>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next w:val="4"/>
    <w:autoRedefine/>
    <w:qFormat/>
    <w:uiPriority w:val="0"/>
    <w:pPr>
      <w:ind w:firstLine="420" w:firstLineChars="200"/>
    </w:pPr>
  </w:style>
  <w:style w:type="paragraph" w:styleId="3">
    <w:name w:val="Body Text Indent"/>
    <w:basedOn w:val="1"/>
    <w:next w:val="1"/>
    <w:autoRedefine/>
    <w:qFormat/>
    <w:uiPriority w:val="0"/>
    <w:pPr>
      <w:spacing w:after="120"/>
      <w:ind w:left="420" w:leftChars="200"/>
    </w:pPr>
  </w:style>
  <w:style w:type="paragraph" w:styleId="4">
    <w:name w:val="footer"/>
    <w:basedOn w:val="1"/>
    <w:autoRedefine/>
    <w:qFormat/>
    <w:uiPriority w:val="0"/>
    <w:pPr>
      <w:tabs>
        <w:tab w:val="center" w:pos="4153"/>
        <w:tab w:val="right" w:pos="8306"/>
      </w:tabs>
      <w:snapToGrid w:val="0"/>
      <w:jc w:val="left"/>
    </w:pPr>
    <w:rPr>
      <w:sz w:val="18"/>
      <w:szCs w:val="18"/>
    </w:rPr>
  </w:style>
  <w:style w:type="paragraph" w:styleId="5">
    <w:name w:val="Normal Indent"/>
    <w:basedOn w:val="1"/>
    <w:next w:val="1"/>
    <w:autoRedefine/>
    <w:qFormat/>
    <w:uiPriority w:val="0"/>
    <w:pPr>
      <w:ind w:firstLine="420" w:firstLineChars="200"/>
    </w:pPr>
  </w:style>
  <w:style w:type="paragraph" w:styleId="6">
    <w:name w:val="annotation text"/>
    <w:basedOn w:val="1"/>
    <w:autoRedefine/>
    <w:semiHidden/>
    <w:qFormat/>
    <w:uiPriority w:val="0"/>
    <w:pPr>
      <w:jc w:val="left"/>
    </w:pPr>
  </w:style>
  <w:style w:type="paragraph" w:styleId="7">
    <w:name w:val="Date"/>
    <w:basedOn w:val="1"/>
    <w:next w:val="1"/>
    <w:autoRedefine/>
    <w:qFormat/>
    <w:uiPriority w:val="0"/>
    <w:pPr>
      <w:ind w:left="100" w:leftChars="2500"/>
    </w:pPr>
  </w:style>
  <w:style w:type="paragraph" w:styleId="8">
    <w:name w:val="Body Text Indent 2"/>
    <w:basedOn w:val="1"/>
    <w:autoRedefine/>
    <w:qFormat/>
    <w:uiPriority w:val="0"/>
    <w:pPr>
      <w:spacing w:after="120" w:line="480" w:lineRule="auto"/>
      <w:ind w:left="420" w:leftChars="200"/>
    </w:pPr>
  </w:style>
  <w:style w:type="paragraph" w:styleId="9">
    <w:name w:val="Balloon Text"/>
    <w:basedOn w:val="1"/>
    <w:autoRedefine/>
    <w:semiHidden/>
    <w:qFormat/>
    <w:uiPriority w:val="0"/>
    <w:rPr>
      <w:sz w:val="18"/>
      <w:szCs w:val="18"/>
    </w:rPr>
  </w:style>
  <w:style w:type="paragraph" w:styleId="10">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autoRedefine/>
    <w:qFormat/>
    <w:uiPriority w:val="99"/>
    <w:pPr>
      <w:widowControl/>
      <w:spacing w:before="100" w:beforeAutospacing="1" w:after="100" w:afterAutospacing="1"/>
      <w:jc w:val="left"/>
    </w:pPr>
    <w:rPr>
      <w:rFonts w:ascii="宋体" w:hAnsi="宋体" w:cs="宋体"/>
      <w:kern w:val="0"/>
      <w:sz w:val="24"/>
    </w:rPr>
  </w:style>
  <w:style w:type="character" w:styleId="14">
    <w:name w:val="Strong"/>
    <w:autoRedefine/>
    <w:qFormat/>
    <w:uiPriority w:val="99"/>
    <w:rPr>
      <w:rFonts w:cs="Times New Roman"/>
      <w:b/>
      <w:bCs/>
    </w:rPr>
  </w:style>
  <w:style w:type="character" w:styleId="15">
    <w:name w:val="page number"/>
    <w:autoRedefine/>
    <w:qFormat/>
    <w:uiPriority w:val="0"/>
  </w:style>
  <w:style w:type="paragraph" w:customStyle="1" w:styleId="16">
    <w:name w:val="_Style 9"/>
    <w:basedOn w:val="1"/>
    <w:autoRedefine/>
    <w:qFormat/>
    <w:uiPriority w:val="0"/>
    <w:rPr>
      <w:rFonts w:ascii="Tahoma" w:hAnsi="Tahoma" w:eastAsia="Times New Roman"/>
      <w:kern w:val="0"/>
      <w:sz w:val="24"/>
      <w:szCs w:val="20"/>
    </w:rPr>
  </w:style>
  <w:style w:type="character" w:customStyle="1" w:styleId="17">
    <w:name w:val="da1"/>
    <w:autoRedefine/>
    <w:qFormat/>
    <w:uiPriority w:val="0"/>
    <w:rPr>
      <w:rFonts w:hint="default" w:ascii="_x000B__x000C_" w:hAnsi="_x000B__x000C_"/>
      <w:color w:val="000000"/>
      <w:spacing w:val="360"/>
      <w:sz w:val="21"/>
      <w:szCs w:val="21"/>
      <w:u w:val="none"/>
    </w:rPr>
  </w:style>
  <w:style w:type="character" w:customStyle="1" w:styleId="18">
    <w:name w:val="UserStyle_1"/>
    <w:autoRedefine/>
    <w:qFormat/>
    <w:uiPriority w:val="0"/>
    <w:rPr>
      <w:rFonts w:hint="default" w:ascii="Calibri" w:hAnsi="Calibri" w:cs="Calibri"/>
    </w:rPr>
  </w:style>
  <w:style w:type="paragraph" w:customStyle="1" w:styleId="19">
    <w:name w:val="Char1 Char Char Char Char Char Char Char Char Char Char Char"/>
    <w:basedOn w:val="1"/>
    <w:autoRedefine/>
    <w:qFormat/>
    <w:uiPriority w:val="0"/>
    <w:pPr>
      <w:pageBreakBefore/>
      <w:tabs>
        <w:tab w:val="left" w:pos="432"/>
      </w:tabs>
      <w:ind w:left="432" w:hanging="432"/>
    </w:pPr>
    <w:rPr>
      <w:rFonts w:ascii="Tahoma" w:hAnsi="Tahoma"/>
      <w:sz w:val="24"/>
      <w:szCs w:val="20"/>
    </w:rPr>
  </w:style>
  <w:style w:type="paragraph" w:customStyle="1" w:styleId="20">
    <w:name w:val="Char Char Char Char"/>
    <w:basedOn w:val="1"/>
    <w:autoRedefine/>
    <w:qFormat/>
    <w:uiPriority w:val="0"/>
    <w:rPr>
      <w:szCs w:val="21"/>
    </w:rPr>
  </w:style>
  <w:style w:type="paragraph" w:customStyle="1" w:styleId="21">
    <w:name w:val="msolistparagraph"/>
    <w:basedOn w:val="1"/>
    <w:autoRedefine/>
    <w:qFormat/>
    <w:uiPriority w:val="0"/>
    <w:pPr>
      <w:ind w:firstLine="420" w:firstLineChars="200"/>
    </w:pPr>
    <w:rPr>
      <w:rFonts w:hint="eastAsia" w:ascii="等线" w:hAnsi="等线" w:eastAsia="等线"/>
      <w:szCs w:val="22"/>
    </w:rPr>
  </w:style>
  <w:style w:type="paragraph" w:customStyle="1" w:styleId="22">
    <w:name w:val="Char Char"/>
    <w:basedOn w:val="1"/>
    <w:autoRedefine/>
    <w:qFormat/>
    <w:uiPriority w:val="0"/>
    <w:pPr>
      <w:pageBreakBefore/>
      <w:tabs>
        <w:tab w:val="left" w:pos="432"/>
      </w:tabs>
      <w:ind w:left="432" w:hanging="432"/>
    </w:pPr>
    <w:rPr>
      <w:rFonts w:ascii="Tahoma" w:hAnsi="Tahoma"/>
      <w:sz w:val="24"/>
      <w:szCs w:val="20"/>
    </w:rPr>
  </w:style>
  <w:style w:type="paragraph" w:customStyle="1" w:styleId="23">
    <w:name w:val="Default"/>
    <w:autoRedefine/>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24">
    <w:name w:val="Char Char3"/>
    <w:basedOn w:val="1"/>
    <w:autoRedefine/>
    <w:qFormat/>
    <w:uiPriority w:val="0"/>
  </w:style>
  <w:style w:type="paragraph" w:customStyle="1" w:styleId="25">
    <w:name w:val="_Style 3"/>
    <w:basedOn w:val="1"/>
    <w:autoRedefine/>
    <w:qFormat/>
    <w:uiPriority w:val="0"/>
    <w:pPr>
      <w:pageBreakBefore/>
      <w:tabs>
        <w:tab w:val="left" w:pos="432"/>
      </w:tabs>
      <w:ind w:left="432" w:hanging="432"/>
    </w:pPr>
    <w:rPr>
      <w:rFonts w:ascii="Tahoma" w:hAnsi="Tahoma"/>
      <w:sz w:val="24"/>
      <w:szCs w:val="20"/>
    </w:rPr>
  </w:style>
  <w:style w:type="paragraph" w:customStyle="1" w:styleId="26">
    <w:name w:val="_Style 25"/>
    <w:autoRedefine/>
    <w:unhideWhenUsed/>
    <w:qFormat/>
    <w:uiPriority w:val="99"/>
    <w:rPr>
      <w:rFonts w:ascii="Times New Roman" w:hAnsi="Times New Roman" w:eastAsia="宋体" w:cs="Times New Roman"/>
      <w:kern w:val="2"/>
      <w:sz w:val="21"/>
      <w:szCs w:val="24"/>
      <w:lang w:val="en-US" w:eastAsia="zh-CN" w:bidi="ar-SA"/>
    </w:rPr>
  </w:style>
  <w:style w:type="paragraph" w:customStyle="1" w:styleId="27">
    <w:name w:val="Revision"/>
    <w:autoRedefine/>
    <w:hidden/>
    <w:unhideWhenUsed/>
    <w:qFormat/>
    <w:uiPriority w:val="99"/>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215</Words>
  <Characters>1230</Characters>
  <Lines>10</Lines>
  <Paragraphs>2</Paragraphs>
  <TotalTime>0</TotalTime>
  <ScaleCrop>false</ScaleCrop>
  <LinksUpToDate>false</LinksUpToDate>
  <CharactersWithSpaces>1443</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2007-02-01T10:10:00Z</dcterms:created>
  <dc:creator>liuyongping</dc:creator>
  <cp:lastModifiedBy>WPS_1591103659</cp:lastModifiedBy>
  <cp:lastPrinted>2009-03-27T09:12:00Z</cp:lastPrinted>
  <dcterms:modified xsi:type="dcterms:W3CDTF">2024-03-19T06:32:20Z</dcterms:modified>
  <dc:title>证券代码：000875            证券简称：吉电股份              公告编号：2014-062</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8D7F6916A5CA4A17BCE35BC937D190E9_13</vt:lpwstr>
  </property>
</Properties>
</file>