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w:hAnsi="Times New Roman" w:eastAsia="宋体" w:cs="Times New Roman"/>
          <w:highlight w:val="none"/>
          <w:lang w:val="en-US" w:eastAsia="zh-CN"/>
        </w:rPr>
      </w:pPr>
      <w:r>
        <w:rPr>
          <w:rFonts w:hint="default" w:ascii="Times New Roman" w:hAnsi="Times New Roman" w:cs="Times New Roman"/>
        </w:rPr>
        <w:t>证券代码：000875            证券简称：吉电股份               公告编号：</w:t>
      </w:r>
      <w:r>
        <w:rPr>
          <w:rFonts w:hint="default" w:ascii="Times New Roman" w:hAnsi="Times New Roman" w:cs="Times New Roman"/>
          <w:highlight w:val="none"/>
        </w:rPr>
        <w:t>202</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-0</w:t>
      </w:r>
      <w:r>
        <w:rPr>
          <w:rFonts w:hint="eastAsia" w:ascii="Times New Roman" w:hAnsi="Times New Roman" w:cs="Times New Roman"/>
          <w:highlight w:val="none"/>
          <w:lang w:val="en-US" w:eastAsia="zh-CN"/>
        </w:rPr>
        <w:t>03</w:t>
      </w:r>
    </w:p>
    <w:p>
      <w:pPr>
        <w:keepNext w:val="0"/>
        <w:keepLines w:val="0"/>
        <w:pageBreakBefore w:val="0"/>
        <w:kinsoku/>
        <w:wordWrap/>
        <w:overflowPunct/>
        <w:topLinePunct w:val="0"/>
        <w:bidi w:val="0"/>
        <w:snapToGrid/>
        <w:spacing w:line="580" w:lineRule="exact"/>
        <w:textAlignment w:val="auto"/>
        <w:rPr>
          <w:rFonts w:hint="default" w:ascii="Times New Roman" w:hAnsi="Times New Roman" w:cs="Times New Roman"/>
          <w:b/>
          <w:sz w:val="44"/>
          <w:szCs w:val="44"/>
        </w:rPr>
      </w:pPr>
      <w:r>
        <w:rPr>
          <w:rFonts w:hint="default" w:ascii="Times New Roman" w:hAnsi="Times New Roman" w:cs="Times New Roman"/>
          <w:color w:val="FF66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417820" cy="22860"/>
                <wp:effectExtent l="0" t="28575" r="7620" b="40005"/>
                <wp:wrapNone/>
                <wp:docPr id="1" name="直线 2"/>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0pt;margin-top:0pt;height:1.8pt;width:426.6pt;z-index:251659264;mso-width-relative:page;mso-height-relative:page;" filled="f" stroked="t" coordsize="21600,21600" o:gfxdata="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HKksvTAAAAAwEAAA8AAAAAAAAAAQAgAAAAIgAAAGRycy9kb3ducmV2LnhtbFBLAQIU&#10;ABQAAAAIAIdO4kBTRW0n+AEAAPADAAAOAAAAAAAAAAEAIAAAACIBAABkcnMvZTJvRG9jLnhtbFBL&#10;BQYAAAAABgAGAFkBAACMBQAAAAA=&#10;">
                <v:fill on="f" focussize="0,0"/>
                <v:stroke weight="4.5pt" color="#FF6600" linestyle="thinThick" joinstyle="round"/>
                <v:imagedata o:title=""/>
                <o:lock v:ext="edit" aspectratio="f"/>
              </v:line>
            </w:pict>
          </mc:Fallback>
        </mc:AlternateConten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吉林电力股份有限公司</w:t>
      </w:r>
    </w:p>
    <w:p>
      <w:pPr>
        <w:keepNext w:val="0"/>
        <w:keepLines w:val="0"/>
        <w:pageBreakBefore w:val="0"/>
        <w:kinsoku/>
        <w:wordWrap/>
        <w:overflowPunct/>
        <w:topLinePunct w:val="0"/>
        <w:bidi w:val="0"/>
        <w:snapToGrid/>
        <w:spacing w:line="580" w:lineRule="exact"/>
        <w:jc w:val="center"/>
        <w:textAlignment w:val="auto"/>
        <w:rPr>
          <w:rFonts w:hint="eastAsia" w:ascii="Times New Roman" w:hAnsi="Times New Roman" w:cs="Times New Roman"/>
          <w:b/>
          <w:sz w:val="44"/>
          <w:szCs w:val="44"/>
        </w:rPr>
      </w:pPr>
      <w:r>
        <w:rPr>
          <w:rFonts w:hint="eastAsia" w:ascii="Times New Roman" w:hAnsi="Times New Roman" w:cs="Times New Roman"/>
          <w:b/>
          <w:sz w:val="44"/>
          <w:szCs w:val="44"/>
          <w:lang w:val="en-US" w:eastAsia="zh-CN"/>
        </w:rPr>
        <w:t>2023</w:t>
      </w:r>
      <w:r>
        <w:rPr>
          <w:rFonts w:hint="eastAsia" w:ascii="Times New Roman" w:hAnsi="Times New Roman" w:cs="Times New Roman"/>
          <w:b/>
          <w:sz w:val="44"/>
          <w:szCs w:val="44"/>
        </w:rPr>
        <w:t>年度业绩预告</w:t>
      </w:r>
    </w:p>
    <w:p>
      <w:pPr>
        <w:keepNext w:val="0"/>
        <w:keepLines w:val="0"/>
        <w:pageBreakBefore w:val="0"/>
        <w:kinsoku/>
        <w:wordWrap/>
        <w:overflowPunct/>
        <w:topLinePunct w:val="0"/>
        <w:bidi w:val="0"/>
        <w:snapToGrid/>
        <w:spacing w:line="580" w:lineRule="exact"/>
        <w:jc w:val="center"/>
        <w:textAlignment w:val="auto"/>
        <w:rPr>
          <w:rFonts w:hint="default" w:ascii="Times New Roman" w:hAnsi="Times New Roman" w:eastAsia="仿宋_GB2312" w:cs="Times New Roman"/>
          <w:sz w:val="32"/>
          <w:szCs w:val="32"/>
        </w:rPr>
      </w:pPr>
    </w:p>
    <w:p>
      <w:pPr>
        <w:keepNext w:val="0"/>
        <w:keepLines w:val="0"/>
        <w:pageBreakBefore w:val="0"/>
        <w:overflowPunct/>
        <w:topLinePunct w:val="0"/>
        <w:bidi w:val="0"/>
        <w:spacing w:before="101" w:line="360" w:lineRule="auto"/>
        <w:ind w:right="-94" w:rightChars="0"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本公司及董事会全体成员保证信息披露内容的真实、准确和</w:t>
      </w:r>
      <w:r>
        <w:rPr>
          <w:rFonts w:hint="eastAsia" w:ascii="Times New Roman" w:hAnsi="Times New Roman" w:eastAsia="仿宋" w:cs="Times New Roman"/>
          <w:b/>
          <w:sz w:val="28"/>
          <w:szCs w:val="28"/>
          <w:lang w:val="en-US" w:eastAsia="zh-CN"/>
        </w:rPr>
        <w:t>完</w:t>
      </w:r>
      <w:r>
        <w:rPr>
          <w:rFonts w:hint="default" w:ascii="Times New Roman" w:hAnsi="Times New Roman" w:eastAsia="仿宋" w:cs="Times New Roman"/>
          <w:b/>
          <w:sz w:val="28"/>
          <w:szCs w:val="28"/>
        </w:rPr>
        <w:t>整，没有虚假记载、误导性陈述或重大遗漏。</w:t>
      </w:r>
    </w:p>
    <w:p>
      <w:pPr>
        <w:keepNext w:val="0"/>
        <w:keepLines w:val="0"/>
        <w:pageBreakBefore w:val="0"/>
        <w:overflowPunct/>
        <w:topLinePunct w:val="0"/>
        <w:bidi w:val="0"/>
        <w:spacing w:before="101" w:line="360" w:lineRule="auto"/>
        <w:ind w:right="-94" w:rightChars="0" w:firstLine="562" w:firstLineChars="200"/>
        <w:rPr>
          <w:rFonts w:hint="eastAsia" w:ascii="Times New Roman" w:hAnsi="Times New Roman" w:eastAsia="仿宋" w:cs="Times New Roman"/>
          <w:b/>
          <w:sz w:val="28"/>
          <w:szCs w:val="28"/>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51" w:firstLineChars="196"/>
        <w:jc w:val="left"/>
        <w:textAlignment w:val="auto"/>
        <w:rPr>
          <w:rFonts w:hint="eastAsia" w:ascii="Times New Roman" w:hAnsi="Times New Roman" w:eastAsia="仿宋" w:cs="Times New Roman"/>
          <w:b/>
          <w:snapToGrid/>
          <w:kern w:val="2"/>
          <w:sz w:val="28"/>
          <w:szCs w:val="28"/>
          <w:lang w:val="en-US" w:eastAsia="zh-CN" w:bidi="ar-SA"/>
        </w:rPr>
      </w:pPr>
      <w:bookmarkStart w:id="0" w:name="_GoBack"/>
      <w:r>
        <w:rPr>
          <w:rFonts w:hint="eastAsia" w:ascii="Times New Roman" w:hAnsi="Times New Roman" w:eastAsia="仿宋" w:cs="Times New Roman"/>
          <w:b/>
          <w:snapToGrid/>
          <w:kern w:val="2"/>
          <w:sz w:val="28"/>
          <w:szCs w:val="28"/>
          <w:lang w:val="en-US" w:eastAsia="zh-CN" w:bidi="ar-SA"/>
        </w:rPr>
        <w:t>一、本期业绩预计情况</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(一)业绩预告期间</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2023年1月1日-2023年12月31日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业绩预告情况</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48" w:firstLineChars="196"/>
        <w:jc w:val="left"/>
        <w:textAlignment w:val="auto"/>
        <w:rPr>
          <w:rFonts w:hint="eastAsia" w:ascii="仿宋" w:hAnsi="仿宋" w:eastAsia="仿宋" w:cs="仿宋"/>
          <w:snapToGrid/>
          <w:kern w:val="2"/>
          <w:sz w:val="28"/>
          <w:szCs w:val="28"/>
          <w:lang w:val="en-US" w:eastAsia="zh-CN" w:bidi="ar-SA"/>
        </w:rPr>
      </w:pPr>
      <w:r>
        <w:rPr>
          <w:rFonts w:hint="eastAsia" w:ascii="Times New Roman" w:hAnsi="Times New Roman" w:eastAsia="仿宋" w:cs="Times New Roman"/>
          <w:snapToGrid/>
          <w:kern w:val="2"/>
          <w:sz w:val="28"/>
          <w:szCs w:val="28"/>
          <w:lang w:val="en-US" w:eastAsia="zh-CN" w:bidi="ar-SA"/>
        </w:rPr>
        <w:t>□ 扭亏为盈  ☑同向上升  □同向下降</w:t>
      </w:r>
    </w:p>
    <w:bookmarkEnd w:id="0"/>
    <w:tbl>
      <w:tblPr>
        <w:tblStyle w:val="8"/>
        <w:tblW w:w="8528" w:type="dxa"/>
        <w:tblInd w:w="38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1"/>
        <w:gridCol w:w="3841"/>
        <w:gridCol w:w="27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vAlign w:val="top"/>
          </w:tcPr>
          <w:p>
            <w:pPr>
              <w:keepNext w:val="0"/>
              <w:keepLines w:val="0"/>
              <w:pageBreakBefore w:val="0"/>
              <w:overflowPunct/>
              <w:topLinePunct w:val="0"/>
              <w:bidi w:val="0"/>
              <w:spacing w:before="157" w:line="360" w:lineRule="auto"/>
              <w:ind w:left="618"/>
              <w:rPr>
                <w:rFonts w:hint="eastAsia" w:ascii="仿宋" w:hAnsi="仿宋" w:eastAsia="仿宋" w:cs="仿宋"/>
                <w:sz w:val="24"/>
                <w:szCs w:val="24"/>
              </w:rPr>
            </w:pPr>
            <w:r>
              <w:rPr>
                <w:rFonts w:hint="eastAsia" w:ascii="仿宋" w:hAnsi="仿宋" w:eastAsia="仿宋" w:cs="仿宋"/>
                <w:spacing w:val="11"/>
                <w:sz w:val="24"/>
                <w:szCs w:val="24"/>
                <w14:textOutline w14:w="4354" w14:cap="flat" w14:cmpd="sng">
                  <w14:solidFill>
                    <w14:srgbClr w14:val="000000"/>
                  </w14:solidFill>
                  <w14:prstDash w14:val="solid"/>
                  <w14:miter w14:val="0"/>
                </w14:textOutline>
              </w:rPr>
              <w:t>项</w:t>
            </w:r>
            <w:r>
              <w:rPr>
                <w:rFonts w:hint="eastAsia" w:ascii="仿宋" w:hAnsi="仿宋" w:eastAsia="仿宋" w:cs="仿宋"/>
                <w:spacing w:val="11"/>
                <w:sz w:val="24"/>
                <w:szCs w:val="24"/>
              </w:rPr>
              <w:t xml:space="preserve">  </w:t>
            </w:r>
            <w:r>
              <w:rPr>
                <w:rFonts w:hint="eastAsia" w:ascii="仿宋" w:hAnsi="仿宋" w:eastAsia="仿宋" w:cs="仿宋"/>
                <w:spacing w:val="10"/>
                <w:sz w:val="24"/>
                <w:szCs w:val="24"/>
                <w14:textOutline w14:w="4354" w14:cap="flat" w14:cmpd="sng">
                  <w14:solidFill>
                    <w14:srgbClr w14:val="000000"/>
                  </w14:solidFill>
                  <w14:prstDash w14:val="solid"/>
                  <w14:miter w14:val="0"/>
                </w14:textOutline>
              </w:rPr>
              <w:t>目</w:t>
            </w:r>
          </w:p>
        </w:tc>
        <w:tc>
          <w:tcPr>
            <w:tcW w:w="3841" w:type="dxa"/>
            <w:vAlign w:val="top"/>
          </w:tcPr>
          <w:p>
            <w:pPr>
              <w:keepNext w:val="0"/>
              <w:keepLines w:val="0"/>
              <w:pageBreakBefore w:val="0"/>
              <w:overflowPunct/>
              <w:topLinePunct w:val="0"/>
              <w:bidi w:val="0"/>
              <w:spacing w:before="158" w:line="360" w:lineRule="auto"/>
              <w:ind w:left="1450"/>
              <w:rPr>
                <w:rFonts w:hint="eastAsia" w:ascii="仿宋" w:hAnsi="仿宋" w:eastAsia="仿宋" w:cs="仿宋"/>
                <w:sz w:val="24"/>
                <w:szCs w:val="24"/>
              </w:rPr>
            </w:pPr>
            <w:r>
              <w:rPr>
                <w:rFonts w:hint="eastAsia" w:ascii="仿宋" w:hAnsi="仿宋" w:eastAsia="仿宋" w:cs="仿宋"/>
                <w:spacing w:val="-4"/>
                <w:sz w:val="24"/>
                <w:szCs w:val="24"/>
                <w14:textOutline w14:w="4354" w14:cap="flat" w14:cmpd="sng">
                  <w14:solidFill>
                    <w14:srgbClr w14:val="000000"/>
                  </w14:solidFill>
                  <w14:prstDash w14:val="solid"/>
                  <w14:miter w14:val="0"/>
                </w14:textOutline>
              </w:rPr>
              <w:t>本</w:t>
            </w:r>
            <w:r>
              <w:rPr>
                <w:rFonts w:hint="eastAsia" w:ascii="仿宋" w:hAnsi="仿宋" w:eastAsia="仿宋" w:cs="仿宋"/>
                <w:spacing w:val="-3"/>
                <w:sz w:val="24"/>
                <w:szCs w:val="24"/>
                <w14:textOutline w14:w="4354" w14:cap="flat" w14:cmpd="sng">
                  <w14:solidFill>
                    <w14:srgbClr w14:val="000000"/>
                  </w14:solidFill>
                  <w14:prstDash w14:val="solid"/>
                  <w14:miter w14:val="0"/>
                </w14:textOutline>
              </w:rPr>
              <w:t>报告期</w:t>
            </w:r>
          </w:p>
        </w:tc>
        <w:tc>
          <w:tcPr>
            <w:tcW w:w="2756" w:type="dxa"/>
            <w:vAlign w:val="top"/>
          </w:tcPr>
          <w:p>
            <w:pPr>
              <w:keepNext w:val="0"/>
              <w:keepLines w:val="0"/>
              <w:pageBreakBefore w:val="0"/>
              <w:overflowPunct/>
              <w:topLinePunct w:val="0"/>
              <w:bidi w:val="0"/>
              <w:spacing w:before="158" w:line="360" w:lineRule="auto"/>
              <w:ind w:left="908"/>
              <w:rPr>
                <w:rFonts w:hint="eastAsia" w:ascii="仿宋" w:hAnsi="仿宋" w:eastAsia="仿宋" w:cs="仿宋"/>
                <w:sz w:val="24"/>
                <w:szCs w:val="24"/>
              </w:rPr>
            </w:pPr>
            <w:r>
              <w:rPr>
                <w:rFonts w:hint="eastAsia" w:ascii="仿宋" w:hAnsi="仿宋" w:eastAsia="仿宋" w:cs="仿宋"/>
                <w:spacing w:val="-5"/>
                <w:sz w:val="24"/>
                <w:szCs w:val="24"/>
                <w14:textOutline w14:w="4354" w14:cap="flat" w14:cmpd="sng">
                  <w14:solidFill>
                    <w14:srgbClr w14:val="000000"/>
                  </w14:solidFill>
                  <w14:prstDash w14:val="solid"/>
                  <w14:miter w14:val="0"/>
                </w14:textOutline>
              </w:rPr>
              <w:t>上</w:t>
            </w:r>
            <w:r>
              <w:rPr>
                <w:rFonts w:hint="eastAsia" w:ascii="仿宋" w:hAnsi="仿宋" w:eastAsia="仿宋" w:cs="仿宋"/>
                <w:spacing w:val="-3"/>
                <w:sz w:val="24"/>
                <w:szCs w:val="24"/>
                <w14:textOutline w14:w="4354" w14:cap="flat" w14:cmpd="sng">
                  <w14:solidFill>
                    <w14:srgbClr w14:val="000000"/>
                  </w14:solidFill>
                  <w14:prstDash w14:val="solid"/>
                  <w14:miter w14:val="0"/>
                </w14:textOutline>
              </w:rPr>
              <w:t>年同期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31" w:type="dxa"/>
            <w:vMerge w:val="restart"/>
            <w:tcBorders>
              <w:bottom w:val="nil"/>
            </w:tcBorders>
            <w:vAlign w:val="top"/>
          </w:tcPr>
          <w:p>
            <w:pPr>
              <w:keepNext w:val="0"/>
              <w:keepLines w:val="0"/>
              <w:pageBreakBefore w:val="0"/>
              <w:overflowPunct/>
              <w:topLinePunct w:val="0"/>
              <w:bidi w:val="0"/>
              <w:spacing w:before="279" w:line="360" w:lineRule="auto"/>
              <w:ind w:left="123" w:right="138" w:firstLine="13"/>
              <w:rPr>
                <w:rFonts w:hint="eastAsia" w:ascii="仿宋" w:hAnsi="仿宋" w:eastAsia="仿宋" w:cs="仿宋"/>
                <w:sz w:val="24"/>
                <w:szCs w:val="24"/>
              </w:rPr>
            </w:pPr>
            <w:r>
              <w:rPr>
                <w:rFonts w:hint="eastAsia" w:ascii="仿宋" w:hAnsi="仿宋" w:eastAsia="仿宋" w:cs="仿宋"/>
                <w:spacing w:val="-6"/>
                <w:sz w:val="24"/>
                <w:szCs w:val="24"/>
              </w:rPr>
              <w:t>归</w:t>
            </w:r>
            <w:r>
              <w:rPr>
                <w:rFonts w:hint="eastAsia" w:ascii="仿宋" w:hAnsi="仿宋" w:eastAsia="仿宋" w:cs="仿宋"/>
                <w:spacing w:val="-4"/>
                <w:sz w:val="24"/>
                <w:szCs w:val="24"/>
              </w:rPr>
              <w:t>属于上市公司股</w:t>
            </w:r>
            <w:r>
              <w:rPr>
                <w:rFonts w:hint="eastAsia" w:ascii="仿宋" w:hAnsi="仿宋" w:eastAsia="仿宋" w:cs="仿宋"/>
                <w:spacing w:val="-2"/>
                <w:sz w:val="24"/>
                <w:szCs w:val="24"/>
              </w:rPr>
              <w:t>东的净利润</w:t>
            </w:r>
          </w:p>
        </w:tc>
        <w:tc>
          <w:tcPr>
            <w:tcW w:w="3841" w:type="dxa"/>
            <w:vAlign w:val="top"/>
          </w:tcPr>
          <w:p>
            <w:pPr>
              <w:keepNext w:val="0"/>
              <w:keepLines w:val="0"/>
              <w:pageBreakBefore w:val="0"/>
              <w:overflowPunct/>
              <w:topLinePunct w:val="0"/>
              <w:bidi w:val="0"/>
              <w:spacing w:before="154" w:line="360" w:lineRule="auto"/>
              <w:ind w:left="123"/>
              <w:rPr>
                <w:rFonts w:hint="eastAsia" w:ascii="仿宋" w:hAnsi="仿宋" w:eastAsia="仿宋" w:cs="仿宋"/>
                <w:sz w:val="24"/>
                <w:szCs w:val="24"/>
              </w:rPr>
            </w:pPr>
            <w:r>
              <w:rPr>
                <w:rFonts w:hint="eastAsia" w:ascii="仿宋" w:hAnsi="仿宋" w:eastAsia="仿宋" w:cs="仿宋"/>
                <w:spacing w:val="-19"/>
                <w:sz w:val="24"/>
                <w:szCs w:val="24"/>
              </w:rPr>
              <w:t>盈</w:t>
            </w:r>
            <w:r>
              <w:rPr>
                <w:rFonts w:hint="eastAsia" w:ascii="仿宋" w:hAnsi="仿宋" w:eastAsia="仿宋" w:cs="仿宋"/>
                <w:spacing w:val="-14"/>
                <w:sz w:val="24"/>
                <w:szCs w:val="24"/>
              </w:rPr>
              <w:t>利：</w:t>
            </w:r>
            <w:r>
              <w:rPr>
                <w:rFonts w:hint="default" w:ascii="Times New Roman" w:hAnsi="Times New Roman" w:eastAsia="仿宋" w:cs="Times New Roman"/>
                <w:sz w:val="24"/>
                <w:szCs w:val="24"/>
                <w:lang w:val="en-US" w:eastAsia="zh-CN"/>
              </w:rPr>
              <w:t>89,000</w:t>
            </w:r>
            <w:r>
              <w:rPr>
                <w:rFonts w:hint="eastAsia" w:ascii="Times New Roman" w:hAnsi="Times New Roman" w:eastAsia="仿宋" w:cs="Times New Roman"/>
                <w:sz w:val="24"/>
                <w:szCs w:val="24"/>
                <w:lang w:val="en-US" w:eastAsia="zh-CN"/>
              </w:rPr>
              <w:t>万元–94,000万元</w:t>
            </w:r>
          </w:p>
        </w:tc>
        <w:tc>
          <w:tcPr>
            <w:tcW w:w="2756" w:type="dxa"/>
            <w:vMerge w:val="restart"/>
            <w:tcBorders>
              <w:bottom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p>
            <w:pPr>
              <w:keepNext w:val="0"/>
              <w:keepLines w:val="0"/>
              <w:pageBreakBefore w:val="0"/>
              <w:overflowPunct/>
              <w:topLinePunct w:val="0"/>
              <w:bidi w:val="0"/>
              <w:spacing w:before="78" w:line="360" w:lineRule="auto"/>
              <w:ind w:left="125"/>
              <w:rPr>
                <w:rFonts w:hint="eastAsia" w:ascii="仿宋" w:hAnsi="仿宋" w:eastAsia="仿宋" w:cs="仿宋"/>
                <w:sz w:val="24"/>
                <w:szCs w:val="24"/>
              </w:rPr>
            </w:pPr>
            <w:r>
              <w:rPr>
                <w:rFonts w:hint="eastAsia" w:ascii="仿宋" w:hAnsi="仿宋" w:eastAsia="仿宋" w:cs="仿宋"/>
                <w:spacing w:val="-12"/>
                <w:sz w:val="24"/>
                <w:szCs w:val="24"/>
              </w:rPr>
              <w:t>盈利：</w:t>
            </w:r>
            <w:r>
              <w:rPr>
                <w:rFonts w:hint="eastAsia" w:ascii="Times New Roman" w:hAnsi="Times New Roman" w:eastAsia="仿宋" w:cs="Times New Roman"/>
                <w:sz w:val="24"/>
                <w:szCs w:val="24"/>
                <w:lang w:val="en-US" w:eastAsia="zh-CN"/>
              </w:rPr>
              <w:t>67,461.71</w:t>
            </w:r>
            <w:r>
              <w:rPr>
                <w:rFonts w:hint="eastAsia" w:ascii="仿宋" w:hAnsi="仿宋" w:eastAsia="仿宋" w:cs="仿宋"/>
                <w:spacing w:val="-12"/>
                <w:sz w:val="24"/>
                <w:szCs w:val="24"/>
              </w:rPr>
              <w:t>万</w:t>
            </w:r>
            <w:r>
              <w:rPr>
                <w:rFonts w:hint="eastAsia" w:ascii="仿宋" w:hAnsi="仿宋" w:eastAsia="仿宋" w:cs="仿宋"/>
                <w:spacing w:val="-11"/>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931" w:type="dxa"/>
            <w:vMerge w:val="continue"/>
            <w:tcBorders>
              <w:top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tc>
        <w:tc>
          <w:tcPr>
            <w:tcW w:w="3841" w:type="dxa"/>
            <w:vAlign w:val="top"/>
          </w:tcPr>
          <w:p>
            <w:pPr>
              <w:keepNext w:val="0"/>
              <w:keepLines w:val="0"/>
              <w:pageBreakBefore w:val="0"/>
              <w:overflowPunct/>
              <w:topLinePunct w:val="0"/>
              <w:bidi w:val="0"/>
              <w:spacing w:before="152" w:line="360" w:lineRule="auto"/>
              <w:ind w:left="147"/>
              <w:rPr>
                <w:rFonts w:hint="eastAsia" w:ascii="仿宋" w:hAnsi="仿宋" w:eastAsia="仿宋" w:cs="仿宋"/>
                <w:sz w:val="24"/>
                <w:szCs w:val="24"/>
              </w:rPr>
            </w:pPr>
            <w:r>
              <w:rPr>
                <w:rFonts w:hint="eastAsia" w:ascii="仿宋" w:hAnsi="仿宋" w:eastAsia="仿宋" w:cs="仿宋"/>
                <w:spacing w:val="-11"/>
                <w:sz w:val="24"/>
                <w:szCs w:val="24"/>
              </w:rPr>
              <w:t>比上年同期增长：</w:t>
            </w:r>
            <w:r>
              <w:rPr>
                <w:rFonts w:hint="eastAsia" w:ascii="Times New Roman" w:hAnsi="Times New Roman" w:eastAsia="仿宋" w:cs="Times New Roman"/>
                <w:sz w:val="24"/>
                <w:szCs w:val="24"/>
                <w:lang w:val="en-US" w:eastAsia="zh-CN"/>
              </w:rPr>
              <w:t>31.93%–39.34%</w:t>
            </w:r>
          </w:p>
        </w:tc>
        <w:tc>
          <w:tcPr>
            <w:tcW w:w="2756" w:type="dxa"/>
            <w:vMerge w:val="continue"/>
            <w:tcBorders>
              <w:top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931" w:type="dxa"/>
            <w:vMerge w:val="restart"/>
            <w:tcBorders>
              <w:bottom w:val="nil"/>
            </w:tcBorders>
            <w:vAlign w:val="top"/>
          </w:tcPr>
          <w:p>
            <w:pPr>
              <w:keepNext w:val="0"/>
              <w:keepLines w:val="0"/>
              <w:pageBreakBefore w:val="0"/>
              <w:overflowPunct/>
              <w:topLinePunct w:val="0"/>
              <w:bidi w:val="0"/>
              <w:spacing w:before="278" w:line="360" w:lineRule="auto"/>
              <w:ind w:left="126" w:right="138" w:firstLine="1"/>
              <w:rPr>
                <w:rFonts w:hint="eastAsia" w:ascii="仿宋" w:hAnsi="仿宋" w:eastAsia="仿宋" w:cs="仿宋"/>
                <w:sz w:val="24"/>
                <w:szCs w:val="24"/>
              </w:rPr>
            </w:pPr>
            <w:r>
              <w:rPr>
                <w:rFonts w:hint="eastAsia" w:ascii="仿宋" w:hAnsi="仿宋" w:eastAsia="仿宋" w:cs="仿宋"/>
                <w:spacing w:val="-3"/>
                <w:sz w:val="24"/>
                <w:szCs w:val="24"/>
              </w:rPr>
              <w:t>扣除非经常性损</w:t>
            </w:r>
            <w:r>
              <w:rPr>
                <w:rFonts w:hint="eastAsia" w:ascii="仿宋" w:hAnsi="仿宋" w:eastAsia="仿宋" w:cs="仿宋"/>
                <w:spacing w:val="-4"/>
                <w:sz w:val="24"/>
                <w:szCs w:val="24"/>
              </w:rPr>
              <w:t>益后</w:t>
            </w:r>
            <w:r>
              <w:rPr>
                <w:rFonts w:hint="eastAsia" w:ascii="仿宋" w:hAnsi="仿宋" w:eastAsia="仿宋" w:cs="仿宋"/>
                <w:spacing w:val="-2"/>
                <w:sz w:val="24"/>
                <w:szCs w:val="24"/>
              </w:rPr>
              <w:t>的净利润</w:t>
            </w:r>
          </w:p>
        </w:tc>
        <w:tc>
          <w:tcPr>
            <w:tcW w:w="3841" w:type="dxa"/>
            <w:vAlign w:val="top"/>
          </w:tcPr>
          <w:p>
            <w:pPr>
              <w:keepNext w:val="0"/>
              <w:keepLines w:val="0"/>
              <w:pageBreakBefore w:val="0"/>
              <w:overflowPunct/>
              <w:topLinePunct w:val="0"/>
              <w:bidi w:val="0"/>
              <w:spacing w:before="156" w:line="360" w:lineRule="auto"/>
              <w:ind w:left="123"/>
              <w:rPr>
                <w:rFonts w:hint="eastAsia" w:ascii="仿宋" w:hAnsi="仿宋" w:eastAsia="仿宋" w:cs="仿宋"/>
                <w:sz w:val="24"/>
                <w:szCs w:val="24"/>
              </w:rPr>
            </w:pPr>
            <w:r>
              <w:rPr>
                <w:rFonts w:hint="eastAsia" w:ascii="仿宋" w:hAnsi="仿宋" w:eastAsia="仿宋" w:cs="仿宋"/>
                <w:spacing w:val="-19"/>
                <w:sz w:val="24"/>
                <w:szCs w:val="24"/>
              </w:rPr>
              <w:t>盈</w:t>
            </w:r>
            <w:r>
              <w:rPr>
                <w:rFonts w:hint="eastAsia" w:ascii="仿宋" w:hAnsi="仿宋" w:eastAsia="仿宋" w:cs="仿宋"/>
                <w:spacing w:val="-14"/>
                <w:sz w:val="24"/>
                <w:szCs w:val="24"/>
              </w:rPr>
              <w:t>利：</w:t>
            </w:r>
            <w:r>
              <w:rPr>
                <w:rFonts w:hint="eastAsia" w:ascii="Times New Roman" w:hAnsi="Times New Roman" w:eastAsia="仿宋" w:cs="Times New Roman"/>
                <w:sz w:val="24"/>
                <w:szCs w:val="24"/>
                <w:lang w:val="en-US" w:eastAsia="zh-CN"/>
              </w:rPr>
              <w:t>87,000万元–92,000万元</w:t>
            </w:r>
          </w:p>
        </w:tc>
        <w:tc>
          <w:tcPr>
            <w:tcW w:w="2756" w:type="dxa"/>
            <w:vMerge w:val="restart"/>
            <w:tcBorders>
              <w:bottom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p>
            <w:pPr>
              <w:keepNext w:val="0"/>
              <w:keepLines w:val="0"/>
              <w:pageBreakBefore w:val="0"/>
              <w:overflowPunct/>
              <w:topLinePunct w:val="0"/>
              <w:bidi w:val="0"/>
              <w:spacing w:before="78" w:line="360" w:lineRule="auto"/>
              <w:ind w:left="125"/>
              <w:rPr>
                <w:rFonts w:hint="eastAsia" w:ascii="仿宋" w:hAnsi="仿宋" w:eastAsia="仿宋" w:cs="仿宋"/>
                <w:sz w:val="24"/>
                <w:szCs w:val="24"/>
              </w:rPr>
            </w:pPr>
            <w:r>
              <w:rPr>
                <w:rFonts w:hint="eastAsia" w:ascii="仿宋" w:hAnsi="仿宋" w:eastAsia="仿宋" w:cs="仿宋"/>
                <w:spacing w:val="-12"/>
                <w:sz w:val="24"/>
                <w:szCs w:val="24"/>
              </w:rPr>
              <w:t>盈利：</w:t>
            </w:r>
            <w:r>
              <w:rPr>
                <w:rFonts w:hint="eastAsia" w:ascii="Times New Roman" w:hAnsi="Times New Roman" w:eastAsia="仿宋" w:cs="Times New Roman"/>
                <w:sz w:val="24"/>
                <w:szCs w:val="24"/>
                <w:lang w:val="en-US" w:eastAsia="zh-CN"/>
              </w:rPr>
              <w:t>68,905.44</w:t>
            </w:r>
            <w:r>
              <w:rPr>
                <w:rFonts w:hint="eastAsia" w:ascii="仿宋" w:hAnsi="仿宋" w:eastAsia="仿宋" w:cs="仿宋"/>
                <w:spacing w:val="-12"/>
                <w:sz w:val="24"/>
                <w:szCs w:val="24"/>
              </w:rPr>
              <w:t>万</w:t>
            </w:r>
            <w:r>
              <w:rPr>
                <w:rFonts w:hint="eastAsia" w:ascii="仿宋" w:hAnsi="仿宋" w:eastAsia="仿宋" w:cs="仿宋"/>
                <w:spacing w:val="-11"/>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31" w:type="dxa"/>
            <w:vMerge w:val="continue"/>
            <w:tcBorders>
              <w:top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tc>
        <w:tc>
          <w:tcPr>
            <w:tcW w:w="3841" w:type="dxa"/>
            <w:vAlign w:val="top"/>
          </w:tcPr>
          <w:p>
            <w:pPr>
              <w:keepNext w:val="0"/>
              <w:keepLines w:val="0"/>
              <w:pageBreakBefore w:val="0"/>
              <w:overflowPunct/>
              <w:topLinePunct w:val="0"/>
              <w:bidi w:val="0"/>
              <w:spacing w:before="157" w:line="360" w:lineRule="auto"/>
              <w:ind w:left="147"/>
              <w:rPr>
                <w:rFonts w:hint="eastAsia" w:ascii="仿宋" w:hAnsi="仿宋" w:eastAsia="仿宋" w:cs="仿宋"/>
                <w:sz w:val="24"/>
                <w:szCs w:val="24"/>
              </w:rPr>
            </w:pPr>
            <w:r>
              <w:rPr>
                <w:rFonts w:hint="eastAsia" w:ascii="仿宋" w:hAnsi="仿宋" w:eastAsia="仿宋" w:cs="仿宋"/>
                <w:spacing w:val="-11"/>
                <w:sz w:val="24"/>
                <w:szCs w:val="24"/>
              </w:rPr>
              <w:t>比上年同期增长：</w:t>
            </w:r>
            <w:r>
              <w:rPr>
                <w:rFonts w:hint="eastAsia" w:ascii="Times New Roman" w:hAnsi="Times New Roman" w:eastAsia="仿宋" w:cs="Times New Roman"/>
                <w:sz w:val="24"/>
                <w:szCs w:val="24"/>
                <w:lang w:val="en-US" w:eastAsia="zh-CN"/>
              </w:rPr>
              <w:t>26.26%–33.52%</w:t>
            </w:r>
          </w:p>
        </w:tc>
        <w:tc>
          <w:tcPr>
            <w:tcW w:w="2756" w:type="dxa"/>
            <w:vMerge w:val="continue"/>
            <w:tcBorders>
              <w:top w:val="nil"/>
            </w:tcBorders>
            <w:vAlign w:val="top"/>
          </w:tcPr>
          <w:p>
            <w:pPr>
              <w:keepNext w:val="0"/>
              <w:keepLines w:val="0"/>
              <w:pageBreakBefore w:val="0"/>
              <w:overflowPunct/>
              <w:topLinePunct w:val="0"/>
              <w:bidi w:val="0"/>
              <w:spacing w:line="360" w:lineRule="auto"/>
              <w:rPr>
                <w:rFonts w:hint="eastAsia" w:ascii="仿宋" w:hAnsi="仿宋" w:eastAsia="仿宋"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31" w:type="dxa"/>
            <w:vAlign w:val="top"/>
          </w:tcPr>
          <w:p>
            <w:pPr>
              <w:keepNext w:val="0"/>
              <w:keepLines w:val="0"/>
              <w:pageBreakBefore w:val="0"/>
              <w:overflowPunct/>
              <w:topLinePunct w:val="0"/>
              <w:bidi w:val="0"/>
              <w:spacing w:before="155" w:line="360" w:lineRule="auto"/>
              <w:ind w:left="123"/>
              <w:rPr>
                <w:rFonts w:hint="eastAsia" w:ascii="仿宋" w:hAnsi="仿宋" w:eastAsia="仿宋" w:cs="仿宋"/>
                <w:sz w:val="24"/>
                <w:szCs w:val="24"/>
              </w:rPr>
            </w:pPr>
            <w:r>
              <w:rPr>
                <w:rFonts w:hint="eastAsia" w:ascii="仿宋" w:hAnsi="仿宋" w:eastAsia="仿宋" w:cs="仿宋"/>
                <w:spacing w:val="-4"/>
                <w:sz w:val="24"/>
                <w:szCs w:val="24"/>
              </w:rPr>
              <w:t>基</w:t>
            </w:r>
            <w:r>
              <w:rPr>
                <w:rFonts w:hint="eastAsia" w:ascii="仿宋" w:hAnsi="仿宋" w:eastAsia="仿宋" w:cs="仿宋"/>
                <w:spacing w:val="-2"/>
                <w:sz w:val="24"/>
                <w:szCs w:val="24"/>
              </w:rPr>
              <w:t>本每股收益</w:t>
            </w:r>
          </w:p>
        </w:tc>
        <w:tc>
          <w:tcPr>
            <w:tcW w:w="3841" w:type="dxa"/>
            <w:vAlign w:val="top"/>
          </w:tcPr>
          <w:p>
            <w:pPr>
              <w:keepNext w:val="0"/>
              <w:keepLines w:val="0"/>
              <w:pageBreakBefore w:val="0"/>
              <w:overflowPunct/>
              <w:topLinePunct w:val="0"/>
              <w:bidi w:val="0"/>
              <w:spacing w:before="155" w:line="360" w:lineRule="auto"/>
              <w:ind w:left="123"/>
              <w:rPr>
                <w:rFonts w:hint="eastAsia" w:ascii="仿宋" w:hAnsi="仿宋" w:eastAsia="仿宋" w:cs="仿宋"/>
                <w:sz w:val="24"/>
                <w:szCs w:val="24"/>
              </w:rPr>
            </w:pPr>
            <w:r>
              <w:rPr>
                <w:rFonts w:hint="eastAsia" w:ascii="仿宋" w:hAnsi="仿宋" w:eastAsia="仿宋" w:cs="仿宋"/>
                <w:spacing w:val="-20"/>
                <w:sz w:val="24"/>
                <w:szCs w:val="24"/>
              </w:rPr>
              <w:t>盈</w:t>
            </w:r>
            <w:r>
              <w:rPr>
                <w:rFonts w:hint="eastAsia" w:ascii="仿宋" w:hAnsi="仿宋" w:eastAsia="仿宋" w:cs="仿宋"/>
                <w:spacing w:val="-15"/>
                <w:sz w:val="24"/>
                <w:szCs w:val="24"/>
              </w:rPr>
              <w:t>利：</w:t>
            </w:r>
            <w:r>
              <w:rPr>
                <w:rFonts w:hint="eastAsia" w:ascii="Times New Roman" w:hAnsi="Times New Roman" w:eastAsia="仿宋" w:cs="Times New Roman"/>
                <w:sz w:val="24"/>
                <w:szCs w:val="24"/>
                <w:lang w:val="en-US" w:eastAsia="zh-CN"/>
              </w:rPr>
              <w:t>0.3190元/股–0.3369元/股</w:t>
            </w:r>
          </w:p>
        </w:tc>
        <w:tc>
          <w:tcPr>
            <w:tcW w:w="2756" w:type="dxa"/>
            <w:vAlign w:val="top"/>
          </w:tcPr>
          <w:p>
            <w:pPr>
              <w:keepNext w:val="0"/>
              <w:keepLines w:val="0"/>
              <w:pageBreakBefore w:val="0"/>
              <w:overflowPunct/>
              <w:topLinePunct w:val="0"/>
              <w:bidi w:val="0"/>
              <w:spacing w:before="155" w:line="360" w:lineRule="auto"/>
              <w:ind w:left="125"/>
              <w:rPr>
                <w:rFonts w:hint="eastAsia" w:ascii="仿宋" w:hAnsi="仿宋" w:eastAsia="仿宋" w:cs="仿宋"/>
                <w:sz w:val="24"/>
                <w:szCs w:val="24"/>
              </w:rPr>
            </w:pPr>
            <w:r>
              <w:rPr>
                <w:rFonts w:hint="eastAsia" w:ascii="仿宋" w:hAnsi="仿宋" w:eastAsia="仿宋" w:cs="仿宋"/>
                <w:spacing w:val="-19"/>
                <w:sz w:val="24"/>
                <w:szCs w:val="24"/>
                <w:highlight w:val="none"/>
              </w:rPr>
              <w:t>盈</w:t>
            </w:r>
            <w:r>
              <w:rPr>
                <w:rFonts w:hint="eastAsia" w:ascii="仿宋" w:hAnsi="仿宋" w:eastAsia="仿宋" w:cs="仿宋"/>
                <w:spacing w:val="-11"/>
                <w:sz w:val="24"/>
                <w:szCs w:val="24"/>
                <w:highlight w:val="none"/>
              </w:rPr>
              <w:t>利：</w:t>
            </w:r>
            <w:r>
              <w:rPr>
                <w:rFonts w:hint="eastAsia" w:ascii="Times New Roman" w:hAnsi="Times New Roman" w:eastAsia="仿宋" w:cs="Times New Roman"/>
                <w:sz w:val="24"/>
                <w:szCs w:val="24"/>
                <w:lang w:val="en-US" w:eastAsia="zh-CN"/>
              </w:rPr>
              <w:t>0.2418</w:t>
            </w:r>
            <w:r>
              <w:rPr>
                <w:rFonts w:hint="eastAsia" w:ascii="仿宋" w:hAnsi="仿宋" w:eastAsia="仿宋" w:cs="仿宋"/>
                <w:sz w:val="24"/>
                <w:szCs w:val="24"/>
                <w:highlight w:val="none"/>
              </w:rPr>
              <w:t>元/股</w:t>
            </w:r>
          </w:p>
        </w:tc>
      </w:tr>
    </w:tbl>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51" w:firstLineChars="196"/>
        <w:jc w:val="left"/>
        <w:textAlignment w:val="auto"/>
        <w:rPr>
          <w:rFonts w:hint="eastAsia" w:ascii="Times New Roman" w:hAnsi="Times New Roman" w:eastAsia="仿宋" w:cs="Times New Roman"/>
          <w:b/>
          <w:snapToGrid/>
          <w:kern w:val="2"/>
          <w:sz w:val="28"/>
          <w:szCs w:val="28"/>
          <w:lang w:val="en-US" w:eastAsia="zh-CN" w:bidi="ar-SA"/>
        </w:rPr>
      </w:pPr>
      <w:r>
        <w:rPr>
          <w:rFonts w:hint="eastAsia" w:ascii="Times New Roman" w:hAnsi="Times New Roman" w:eastAsia="仿宋" w:cs="Times New Roman"/>
          <w:b/>
          <w:snapToGrid/>
          <w:kern w:val="2"/>
          <w:sz w:val="28"/>
          <w:szCs w:val="28"/>
          <w:lang w:val="en-US" w:eastAsia="zh-CN" w:bidi="ar-SA"/>
        </w:rPr>
        <w:t>二、与会计师事务所沟通情况</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本期业绩预告的相关财务数据未经注册会计师审计。公司就业绩预告有关事项与年报审计会计师事务所进行了初步沟通，双方不存在分歧。</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51" w:firstLineChars="196"/>
        <w:jc w:val="left"/>
        <w:textAlignment w:val="auto"/>
        <w:rPr>
          <w:rFonts w:hint="eastAsia" w:ascii="Times New Roman" w:hAnsi="Times New Roman" w:eastAsia="仿宋" w:cs="Times New Roman"/>
          <w:b/>
          <w:snapToGrid/>
          <w:kern w:val="2"/>
          <w:sz w:val="28"/>
          <w:szCs w:val="28"/>
          <w:lang w:val="en-US" w:eastAsia="zh-CN" w:bidi="ar-SA"/>
        </w:rPr>
      </w:pPr>
      <w:r>
        <w:rPr>
          <w:rFonts w:hint="eastAsia" w:ascii="Times New Roman" w:hAnsi="Times New Roman" w:eastAsia="仿宋" w:cs="Times New Roman"/>
          <w:b/>
          <w:snapToGrid/>
          <w:kern w:val="2"/>
          <w:sz w:val="28"/>
          <w:szCs w:val="28"/>
          <w:lang w:val="en-US" w:eastAsia="zh-CN" w:bidi="ar-SA"/>
        </w:rPr>
        <w:t>三、业绩变动原因说明</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报告期内，公司归属于上市公司股东的净利润比上年同期增长的主要原因为：</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highlight w:val="none"/>
          <w:lang w:val="en-US" w:eastAsia="zh-CN" w:bidi="ar-SA"/>
        </w:rPr>
      </w:pPr>
      <w:r>
        <w:rPr>
          <w:rFonts w:hint="eastAsia" w:ascii="仿宋" w:hAnsi="仿宋" w:eastAsia="仿宋" w:cs="仿宋"/>
          <w:snapToGrid/>
          <w:kern w:val="2"/>
          <w:sz w:val="28"/>
          <w:szCs w:val="28"/>
          <w:highlight w:val="none"/>
          <w:lang w:val="en-US" w:eastAsia="zh-CN" w:bidi="ar-SA"/>
        </w:rPr>
        <w:t>1.开展存量提质增效。强化存量资产的效能提升，增加辅助服务收益，控降燃料成本，优化存量贷款利率，提升盈利能力。</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highlight w:val="none"/>
          <w:lang w:val="en-US" w:eastAsia="zh-CN" w:bidi="ar-SA"/>
        </w:rPr>
      </w:pPr>
      <w:r>
        <w:rPr>
          <w:rFonts w:hint="eastAsia" w:ascii="仿宋" w:hAnsi="仿宋" w:eastAsia="仿宋" w:cs="仿宋"/>
          <w:snapToGrid/>
          <w:kern w:val="2"/>
          <w:sz w:val="28"/>
          <w:szCs w:val="28"/>
          <w:highlight w:val="none"/>
          <w:lang w:val="en-US" w:eastAsia="zh-CN" w:bidi="ar-SA"/>
        </w:rPr>
        <w:t>2.推动增量创造价值。持续优化资产结构，至2023年末新能源装机规模超千万千瓦，利润贡献进一步提升。</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b w:val="0"/>
          <w:bCs w:val="0"/>
          <w:snapToGrid/>
          <w:kern w:val="2"/>
          <w:sz w:val="28"/>
          <w:szCs w:val="28"/>
          <w:highlight w:val="none"/>
          <w:lang w:val="en-US" w:eastAsia="zh-CN" w:bidi="ar-SA"/>
        </w:rPr>
      </w:pPr>
      <w:r>
        <w:rPr>
          <w:rFonts w:hint="eastAsia" w:ascii="仿宋" w:hAnsi="仿宋" w:eastAsia="仿宋" w:cs="仿宋"/>
          <w:b w:val="0"/>
          <w:bCs w:val="0"/>
          <w:snapToGrid/>
          <w:kern w:val="2"/>
          <w:sz w:val="28"/>
          <w:szCs w:val="28"/>
          <w:highlight w:val="none"/>
          <w:lang w:val="en-US" w:eastAsia="zh-CN" w:bidi="ar-SA"/>
        </w:rPr>
        <w:t>综上，公司围绕“高质量、稳增长”的总体经营目标，坚持高质量发展，强化存量资产管理，实现经营业绩持续稳步攀升。</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51" w:firstLineChars="196"/>
        <w:jc w:val="left"/>
        <w:textAlignment w:val="auto"/>
        <w:rPr>
          <w:rFonts w:hint="eastAsia" w:ascii="Times New Roman" w:hAnsi="Times New Roman" w:eastAsia="仿宋" w:cs="Times New Roman"/>
          <w:b/>
          <w:snapToGrid/>
          <w:kern w:val="2"/>
          <w:sz w:val="28"/>
          <w:szCs w:val="28"/>
          <w:lang w:val="en-US" w:eastAsia="zh-CN" w:bidi="ar-SA"/>
        </w:rPr>
      </w:pPr>
      <w:r>
        <w:rPr>
          <w:rFonts w:hint="eastAsia" w:ascii="Times New Roman" w:hAnsi="Times New Roman" w:eastAsia="仿宋" w:cs="Times New Roman"/>
          <w:b/>
          <w:snapToGrid/>
          <w:kern w:val="2"/>
          <w:sz w:val="28"/>
          <w:szCs w:val="28"/>
          <w:lang w:val="en-US" w:eastAsia="zh-CN" w:bidi="ar-SA"/>
        </w:rPr>
        <w:t>四、其他相关说明</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1.会计政策变更</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根据《企业会计准则解释第16号》关于单项交易产生的资产和负债相关的递延所得税不适用初始确认豁免的会计处理，公司对2022年度财务报表进行追溯调整，影响归属于母公司所有者的净利润290.21万元，追溯调整后2022年归属于上市公司股东的净利润为67,461.71万元。</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2.其他需说明的事项</w:t>
      </w:r>
    </w:p>
    <w:p>
      <w:pPr>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 w:hAnsi="仿宋" w:eastAsia="仿宋" w:cs="仿宋"/>
          <w:snapToGrid/>
          <w:kern w:val="2"/>
          <w:sz w:val="28"/>
          <w:szCs w:val="28"/>
          <w:lang w:val="en-US" w:eastAsia="zh-CN" w:bidi="ar-SA"/>
        </w:rPr>
      </w:pPr>
      <w:r>
        <w:rPr>
          <w:rFonts w:hint="eastAsia" w:ascii="仿宋" w:hAnsi="仿宋" w:eastAsia="仿宋" w:cs="仿宋"/>
          <w:snapToGrid/>
          <w:kern w:val="2"/>
          <w:sz w:val="28"/>
          <w:szCs w:val="28"/>
          <w:lang w:val="en-US" w:eastAsia="zh-CN" w:bidi="ar-SA"/>
        </w:rPr>
        <w:t>本次业绩预告是公司财务部门初步测算的结果，未经审计机构审计，2023年度业绩的具体财务数据将在公司2023年度报告中详细披露。敬请广大投资者谨慎决策、注意投资风险。</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仿宋" w:cs="Times New Roman"/>
          <w:snapToGrid/>
          <w:kern w:val="2"/>
          <w:sz w:val="28"/>
          <w:szCs w:val="28"/>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 w:cs="Times New Roman"/>
          <w:snapToGrid/>
          <w:kern w:val="2"/>
          <w:sz w:val="28"/>
          <w:szCs w:val="28"/>
          <w:lang w:val="en-US" w:eastAsia="zh-CN" w:bidi="ar-SA"/>
        </w:rPr>
      </w:pPr>
      <w:r>
        <w:rPr>
          <w:rFonts w:hint="eastAsia" w:ascii="Times New Roman" w:hAnsi="Times New Roman" w:eastAsia="仿宋" w:cs="Times New Roman"/>
          <w:snapToGrid/>
          <w:kern w:val="2"/>
          <w:sz w:val="28"/>
          <w:szCs w:val="28"/>
          <w:lang w:val="en-US" w:eastAsia="zh-CN" w:bidi="ar-SA"/>
        </w:rPr>
        <w:t>特此公告。</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Times New Roman"/>
          <w:snapToGrid/>
          <w:kern w:val="2"/>
          <w:sz w:val="28"/>
          <w:szCs w:val="28"/>
          <w:lang w:val="en-US" w:eastAsia="zh-CN" w:bidi="ar-SA"/>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48" w:firstLineChars="196"/>
        <w:jc w:val="right"/>
        <w:textAlignment w:val="auto"/>
        <w:rPr>
          <w:rFonts w:hint="eastAsia" w:ascii="Times New Roman" w:hAnsi="Times New Roman" w:eastAsia="仿宋" w:cs="Times New Roman"/>
          <w:snapToGrid/>
          <w:kern w:val="2"/>
          <w:sz w:val="28"/>
          <w:szCs w:val="28"/>
          <w:lang w:val="en-US" w:eastAsia="zh-CN" w:bidi="ar-SA"/>
        </w:rPr>
      </w:pPr>
      <w:r>
        <w:rPr>
          <w:rFonts w:hint="eastAsia" w:ascii="Times New Roman" w:hAnsi="Times New Roman" w:eastAsia="仿宋" w:cs="Times New Roman"/>
          <w:snapToGrid/>
          <w:kern w:val="2"/>
          <w:sz w:val="28"/>
          <w:szCs w:val="28"/>
          <w:lang w:val="en-US" w:eastAsia="zh-CN" w:bidi="ar-SA"/>
        </w:rPr>
        <w:t>吉林电力股份有限公司董事会</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60" w:lineRule="exact"/>
        <w:ind w:left="0" w:leftChars="0" w:firstLine="548" w:firstLineChars="196"/>
        <w:jc w:val="center"/>
        <w:textAlignment w:val="auto"/>
        <w:rPr>
          <w:rFonts w:hint="default" w:ascii="Times New Roman" w:hAnsi="Times New Roman" w:eastAsia="仿宋" w:cs="Times New Roman"/>
          <w:snapToGrid/>
          <w:kern w:val="2"/>
          <w:sz w:val="28"/>
          <w:szCs w:val="28"/>
          <w:lang w:val="en-US" w:eastAsia="zh-CN" w:bidi="ar-SA"/>
        </w:rPr>
      </w:pPr>
      <w:r>
        <w:rPr>
          <w:rFonts w:hint="eastAsia" w:ascii="仿宋" w:hAnsi="仿宋" w:eastAsia="仿宋" w:cs="仿宋"/>
          <w:snapToGrid/>
          <w:kern w:val="2"/>
          <w:sz w:val="28"/>
          <w:szCs w:val="28"/>
          <w:lang w:val="en-US" w:eastAsia="zh-CN" w:bidi="ar-SA"/>
        </w:rPr>
        <w:t xml:space="preserve">                              二〇二四</w:t>
      </w:r>
      <w:r>
        <w:rPr>
          <w:rFonts w:hint="eastAsia" w:ascii="Times New Roman" w:hAnsi="Times New Roman" w:eastAsia="仿宋" w:cs="Times New Roman"/>
          <w:snapToGrid/>
          <w:kern w:val="2"/>
          <w:sz w:val="28"/>
          <w:szCs w:val="28"/>
          <w:lang w:val="en-US" w:eastAsia="zh-CN" w:bidi="ar-SA"/>
        </w:rPr>
        <w:t xml:space="preserve">年一月十五日   </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jc w:val="right"/>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2A437"/>
    <w:multiLevelType w:val="singleLevel"/>
    <w:tmpl w:val="95D2A437"/>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492D6774"/>
    <w:rsid w:val="01886799"/>
    <w:rsid w:val="0AEC14C1"/>
    <w:rsid w:val="0C4B4BFA"/>
    <w:rsid w:val="0FC60675"/>
    <w:rsid w:val="101B0FA1"/>
    <w:rsid w:val="11140D0D"/>
    <w:rsid w:val="11DA1F57"/>
    <w:rsid w:val="14E16E52"/>
    <w:rsid w:val="16C61819"/>
    <w:rsid w:val="16DD0810"/>
    <w:rsid w:val="17F76ADF"/>
    <w:rsid w:val="18934C0E"/>
    <w:rsid w:val="190B29DF"/>
    <w:rsid w:val="19CE24F1"/>
    <w:rsid w:val="1BD85B08"/>
    <w:rsid w:val="1CF21D0A"/>
    <w:rsid w:val="1CFC56BE"/>
    <w:rsid w:val="1D115D7F"/>
    <w:rsid w:val="1E146797"/>
    <w:rsid w:val="1F4C21A7"/>
    <w:rsid w:val="26E61C61"/>
    <w:rsid w:val="28AC6A07"/>
    <w:rsid w:val="28FA5FBC"/>
    <w:rsid w:val="29F139DA"/>
    <w:rsid w:val="29F80D74"/>
    <w:rsid w:val="2B0C0D2B"/>
    <w:rsid w:val="2B6E5792"/>
    <w:rsid w:val="307A73CD"/>
    <w:rsid w:val="315402BA"/>
    <w:rsid w:val="34B0179B"/>
    <w:rsid w:val="35EA010B"/>
    <w:rsid w:val="3C236125"/>
    <w:rsid w:val="3D4B5078"/>
    <w:rsid w:val="402525CA"/>
    <w:rsid w:val="40F24AFF"/>
    <w:rsid w:val="41BE59CC"/>
    <w:rsid w:val="44B707C9"/>
    <w:rsid w:val="46740533"/>
    <w:rsid w:val="46AF4AD1"/>
    <w:rsid w:val="46D95918"/>
    <w:rsid w:val="492D6774"/>
    <w:rsid w:val="499B0B86"/>
    <w:rsid w:val="4A0330F2"/>
    <w:rsid w:val="4CCD2D2E"/>
    <w:rsid w:val="4CD00B84"/>
    <w:rsid w:val="4EEC7905"/>
    <w:rsid w:val="4FE8008E"/>
    <w:rsid w:val="51D02142"/>
    <w:rsid w:val="536E3018"/>
    <w:rsid w:val="546926EB"/>
    <w:rsid w:val="56FC7AC4"/>
    <w:rsid w:val="577C299A"/>
    <w:rsid w:val="59394F7E"/>
    <w:rsid w:val="5AB5451F"/>
    <w:rsid w:val="5B2C2CC4"/>
    <w:rsid w:val="5B567DDF"/>
    <w:rsid w:val="5CA829C5"/>
    <w:rsid w:val="618741B1"/>
    <w:rsid w:val="624C6480"/>
    <w:rsid w:val="65B502B4"/>
    <w:rsid w:val="65BF6057"/>
    <w:rsid w:val="6CE27BD8"/>
    <w:rsid w:val="6DB81DC1"/>
    <w:rsid w:val="6E2D0C32"/>
    <w:rsid w:val="72910786"/>
    <w:rsid w:val="75141C27"/>
    <w:rsid w:val="76EE0B02"/>
    <w:rsid w:val="77F75A5E"/>
    <w:rsid w:val="781C75E4"/>
    <w:rsid w:val="793B3C1E"/>
    <w:rsid w:val="793F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Indent"/>
    <w:basedOn w:val="1"/>
    <w:next w:val="1"/>
    <w:autoRedefine/>
    <w:semiHidden/>
    <w:unhideWhenUsed/>
    <w:qFormat/>
    <w:uiPriority w:val="99"/>
    <w:pPr>
      <w:spacing w:after="120"/>
      <w:ind w:left="420" w:leftChars="200"/>
    </w:p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3"/>
    <w:autoRedefine/>
    <w:unhideWhenUsed/>
    <w:qFormat/>
    <w:uiPriority w:val="99"/>
    <w:pPr>
      <w:spacing w:after="0"/>
      <w:ind w:left="0" w:leftChars="0" w:firstLine="420" w:firstLineChars="200"/>
    </w:pPr>
    <w:rPr>
      <w:rFonts w:ascii="Times New Roman" w:hAnsi="Times New Roman"/>
      <w:sz w:val="30"/>
    </w:rPr>
  </w:style>
  <w:style w:type="table" w:customStyle="1" w:styleId="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774</Words>
  <Characters>900</Characters>
  <Lines>0</Lines>
  <Paragraphs>0</Paragraphs>
  <TotalTime>0</TotalTime>
  <ScaleCrop>false</ScaleCrop>
  <LinksUpToDate>false</LinksUpToDate>
  <CharactersWithSpaces>917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2023-01-05T09:51:00Z</dcterms:created>
  <dc:creator>筱灬天</dc:creator>
  <cp:lastModifiedBy>WPS_1591103659</cp:lastModifiedBy>
  <cp:lastPrinted>2023-01-06T07:03:00Z</cp:lastPrinted>
  <dcterms:modified xsi:type="dcterms:W3CDTF">2024-01-15T05:57:50Z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BB2BF3EADDE64C38AC4AA155259A60FA_13</vt:lpwstr>
  </property>
</Properties>
</file>